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1F" w:rsidRDefault="006A601F" w:rsidP="006A601F">
      <w:pPr>
        <w:spacing w:line="360" w:lineRule="auto"/>
        <w:jc w:val="center"/>
        <w:rPr>
          <w:rFonts w:asciiTheme="majorBidi" w:hAnsiTheme="majorBidi" w:cstheme="majorBidi"/>
          <w:b/>
          <w:bCs/>
          <w:i/>
          <w:iCs/>
          <w:sz w:val="24"/>
          <w:szCs w:val="24"/>
        </w:rPr>
      </w:pPr>
      <w:r>
        <w:rPr>
          <w:rFonts w:asciiTheme="majorBidi" w:hAnsiTheme="majorBidi" w:cstheme="majorBidi"/>
          <w:b/>
          <w:bCs/>
          <w:sz w:val="24"/>
          <w:szCs w:val="24"/>
        </w:rPr>
        <w:t>SOLUBLE VASCULAR CELL ADHESION MOLECULE-1(SVACM-1) IN HEMOPHILIC ARTHROPATHY</w:t>
      </w:r>
    </w:p>
    <w:p w:rsidR="006A601F" w:rsidRDefault="006A601F" w:rsidP="006A601F">
      <w:pPr>
        <w:spacing w:line="360" w:lineRule="auto"/>
        <w:rPr>
          <w:rFonts w:asciiTheme="majorBidi" w:hAnsiTheme="majorBidi" w:cstheme="majorBidi"/>
          <w:b/>
          <w:bCs/>
          <w:sz w:val="24"/>
          <w:szCs w:val="24"/>
        </w:rPr>
      </w:pPr>
      <w:r>
        <w:rPr>
          <w:rFonts w:asciiTheme="majorBidi" w:hAnsiTheme="majorBidi" w:cstheme="majorBidi"/>
          <w:b/>
          <w:bCs/>
          <w:sz w:val="24"/>
          <w:szCs w:val="24"/>
        </w:rPr>
        <w:t>Abstract:</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Background: </w:t>
      </w:r>
      <w:r>
        <w:rPr>
          <w:rFonts w:asciiTheme="majorBidi" w:hAnsiTheme="majorBidi" w:cstheme="majorBidi"/>
          <w:sz w:val="24"/>
          <w:szCs w:val="24"/>
        </w:rPr>
        <w:t xml:space="preserve">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is the most common chronic complication in individuals with hemophilia, leading to significant joint damage and reduced quality of life. It shares inflammatory characteristics with rheumatoid arthritis (RA), prompting interest in biomarkers like soluble vascular cell adhesion molecule-1 (sVCAM-1), which is known to be elevated in RA and other inflammatory conditions. This study aimed to explore the clinical relevance of sVCAM-1 as a potential biomarker in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w:t>
      </w:r>
      <w:r>
        <w:rPr>
          <w:rFonts w:asciiTheme="majorBidi" w:hAnsiTheme="majorBidi" w:cstheme="majorBidi"/>
          <w:b/>
          <w:bCs/>
          <w:sz w:val="24"/>
          <w:szCs w:val="24"/>
        </w:rPr>
        <w:t>Aims:</w:t>
      </w:r>
      <w:r>
        <w:rPr>
          <w:rFonts w:asciiTheme="majorBidi" w:hAnsiTheme="majorBidi" w:cstheme="majorBidi"/>
          <w:sz w:val="24"/>
          <w:szCs w:val="24"/>
        </w:rPr>
        <w:t xml:space="preserve"> To estimate plasma levels of sVCAM-1 in hemophilia patients compared to healthy controls. To compare sVCAM-1 levels between hemophilia patients with and without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To correlate sVCAM-1 levels with clinical and hematological parameters. Methods: A cross-sectional study was conducted in Baghdad (Jan–Dec 2024) including 80 male patients with hemophilia (70 with hemophilia A, 10 with hemophilia B), divided equally into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non-</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groups, and 16 age- and sex-matched healthy controls. Plasma sVCAM-1 levels were measured using ELISA, and clinical data including factor levels, HJHS scores, and hematologic markers were collected. </w:t>
      </w:r>
      <w:r>
        <w:rPr>
          <w:rFonts w:asciiTheme="majorBidi" w:hAnsiTheme="majorBidi" w:cstheme="majorBidi"/>
          <w:b/>
          <w:bCs/>
          <w:sz w:val="24"/>
          <w:szCs w:val="24"/>
        </w:rPr>
        <w:t>Results:</w:t>
      </w:r>
      <w:r>
        <w:rPr>
          <w:rFonts w:asciiTheme="majorBidi" w:hAnsiTheme="majorBidi" w:cstheme="majorBidi"/>
          <w:sz w:val="24"/>
          <w:szCs w:val="24"/>
        </w:rPr>
        <w:t xml:space="preserve">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was found in 50% of hemophilia patients, most commonly affecting the ankle. Severe disease was more frequent in hemophilia A. sVCAM-1 levels were significantly higher in patients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(4.0 µg/mL) compared to those without (2.1 µg/mL) and controls (0.69 µg/mL). sVCAM-1 showed strong positive correlation with ESR (r=0.283, p=0.01) and HJHS score (r=0.9, p=0.001), but not with WBC, hemoglobin, or platelet count. Diagnostic accuracy for sVCAM-1 was excellent (AUC=1.0, p&lt;0.001). </w:t>
      </w:r>
      <w:r>
        <w:rPr>
          <w:rFonts w:asciiTheme="majorBidi" w:hAnsiTheme="majorBidi" w:cstheme="majorBidi"/>
          <w:b/>
          <w:bCs/>
          <w:sz w:val="24"/>
          <w:szCs w:val="24"/>
        </w:rPr>
        <w:t>Conclusions:</w:t>
      </w:r>
      <w:r>
        <w:rPr>
          <w:rFonts w:asciiTheme="majorBidi" w:hAnsiTheme="majorBidi" w:cstheme="majorBidi"/>
          <w:sz w:val="24"/>
          <w:szCs w:val="24"/>
        </w:rPr>
        <w:t xml:space="preserve"> sVCAM-1 is significantly elevated in hemophilia patients, especially those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and correlates with inflammatory activity and joint damage, supporting its potential as a clinical biomarker.</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Keywords: Hemophilia, Hemophilic </w:t>
      </w:r>
      <w:proofErr w:type="spellStart"/>
      <w:r>
        <w:rPr>
          <w:rFonts w:asciiTheme="majorBidi" w:hAnsiTheme="majorBidi" w:cstheme="majorBidi"/>
          <w:b/>
          <w:bCs/>
          <w:sz w:val="24"/>
          <w:szCs w:val="24"/>
        </w:rPr>
        <w:t>Arthropathy</w:t>
      </w:r>
      <w:proofErr w:type="spellEnd"/>
      <w:r>
        <w:rPr>
          <w:rFonts w:asciiTheme="majorBidi" w:hAnsiTheme="majorBidi" w:cstheme="majorBidi"/>
          <w:b/>
          <w:bCs/>
          <w:sz w:val="24"/>
          <w:szCs w:val="24"/>
        </w:rPr>
        <w:t>, sVCAM-1, Soluble Vascular Cell Adhesion Molecule-1, Biomarker.</w:t>
      </w:r>
    </w:p>
    <w:p w:rsidR="006A601F" w:rsidRDefault="006A601F" w:rsidP="006A601F">
      <w:pPr>
        <w:spacing w:after="0" w:line="360" w:lineRule="auto"/>
        <w:jc w:val="both"/>
        <w:rPr>
          <w:rFonts w:asciiTheme="majorBidi" w:hAnsiTheme="majorBidi" w:cstheme="majorBidi"/>
          <w:b/>
          <w:bCs/>
          <w:sz w:val="24"/>
          <w:szCs w:val="24"/>
        </w:rPr>
      </w:pPr>
    </w:p>
    <w:p w:rsidR="006A601F" w:rsidRDefault="006A601F" w:rsidP="006A601F">
      <w:pPr>
        <w:spacing w:after="0" w:line="360" w:lineRule="auto"/>
        <w:jc w:val="both"/>
        <w:rPr>
          <w:rFonts w:asciiTheme="majorBidi" w:hAnsiTheme="majorBidi" w:cstheme="majorBidi"/>
          <w:b/>
          <w:bCs/>
          <w:sz w:val="24"/>
          <w:szCs w:val="24"/>
        </w:rPr>
      </w:pPr>
    </w:p>
    <w:p w:rsidR="006A601F" w:rsidRDefault="006A601F" w:rsidP="006A601F">
      <w:pPr>
        <w:spacing w:after="0" w:line="360" w:lineRule="auto"/>
        <w:jc w:val="both"/>
        <w:rPr>
          <w:rFonts w:asciiTheme="majorBidi" w:hAnsiTheme="majorBidi" w:cstheme="majorBidi"/>
          <w:b/>
          <w:bCs/>
          <w:sz w:val="24"/>
          <w:szCs w:val="24"/>
        </w:rPr>
      </w:pPr>
    </w:p>
    <w:p w:rsidR="006A601F" w:rsidRDefault="006A601F" w:rsidP="006A601F">
      <w:pPr>
        <w:spacing w:after="0" w:line="360" w:lineRule="auto"/>
        <w:jc w:val="both"/>
        <w:rPr>
          <w:rFonts w:asciiTheme="majorBidi" w:hAnsiTheme="majorBidi" w:cstheme="majorBidi"/>
          <w:b/>
          <w:bCs/>
          <w:sz w:val="24"/>
          <w:szCs w:val="24"/>
        </w:rPr>
      </w:pP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Introduction:</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Hemophilia is a hereditary, sex-linked recessive bleeding disorder caused by deficiencies in clotting factors VIII or IX, resulting in hemophilia A (HA) or B (HB), respectively </w:t>
      </w:r>
      <w:r>
        <w:rPr>
          <w:rFonts w:asciiTheme="majorBidi" w:hAnsiTheme="majorBidi" w:cstheme="majorBidi"/>
          <w:sz w:val="24"/>
          <w:szCs w:val="24"/>
          <w:vertAlign w:val="superscript"/>
        </w:rPr>
        <w:t>[1]</w:t>
      </w:r>
      <w:r>
        <w:rPr>
          <w:rFonts w:asciiTheme="majorBidi" w:hAnsiTheme="majorBidi" w:cstheme="majorBidi"/>
          <w:sz w:val="24"/>
          <w:szCs w:val="24"/>
        </w:rPr>
        <w:t>. The clinical classification is based on factor levels: severe (&lt;1 IU/</w:t>
      </w:r>
      <w:proofErr w:type="spellStart"/>
      <w:r>
        <w:rPr>
          <w:rFonts w:asciiTheme="majorBidi" w:hAnsiTheme="majorBidi" w:cstheme="majorBidi"/>
          <w:sz w:val="24"/>
          <w:szCs w:val="24"/>
        </w:rPr>
        <w:t>dL</w:t>
      </w:r>
      <w:proofErr w:type="spellEnd"/>
      <w:r>
        <w:rPr>
          <w:rFonts w:asciiTheme="majorBidi" w:hAnsiTheme="majorBidi" w:cstheme="majorBidi"/>
          <w:sz w:val="24"/>
          <w:szCs w:val="24"/>
        </w:rPr>
        <w:t>), moderate (1–5 IU/</w:t>
      </w:r>
      <w:proofErr w:type="spellStart"/>
      <w:r>
        <w:rPr>
          <w:rFonts w:asciiTheme="majorBidi" w:hAnsiTheme="majorBidi" w:cstheme="majorBidi"/>
          <w:sz w:val="24"/>
          <w:szCs w:val="24"/>
        </w:rPr>
        <w:t>dL</w:t>
      </w:r>
      <w:proofErr w:type="spellEnd"/>
      <w:r>
        <w:rPr>
          <w:rFonts w:asciiTheme="majorBidi" w:hAnsiTheme="majorBidi" w:cstheme="majorBidi"/>
          <w:sz w:val="24"/>
          <w:szCs w:val="24"/>
        </w:rPr>
        <w:t>), and mild (&gt;5 IU/</w:t>
      </w:r>
      <w:proofErr w:type="spellStart"/>
      <w:r>
        <w:rPr>
          <w:rFonts w:asciiTheme="majorBidi" w:hAnsiTheme="majorBidi" w:cstheme="majorBidi"/>
          <w:sz w:val="24"/>
          <w:szCs w:val="24"/>
        </w:rPr>
        <w:t>dL</w:t>
      </w:r>
      <w:proofErr w:type="spellEnd"/>
      <w:r>
        <w:rPr>
          <w:rFonts w:asciiTheme="majorBidi" w:hAnsiTheme="majorBidi" w:cstheme="majorBidi"/>
          <w:sz w:val="24"/>
          <w:szCs w:val="24"/>
        </w:rPr>
        <w:t xml:space="preserve">) </w:t>
      </w:r>
      <w:r>
        <w:rPr>
          <w:rFonts w:asciiTheme="majorBidi" w:hAnsiTheme="majorBidi" w:cstheme="majorBidi"/>
          <w:sz w:val="24"/>
          <w:szCs w:val="24"/>
          <w:vertAlign w:val="superscript"/>
        </w:rPr>
        <w:t>[2]</w:t>
      </w:r>
      <w:r>
        <w:rPr>
          <w:rFonts w:asciiTheme="majorBidi" w:hAnsiTheme="majorBidi" w:cstheme="majorBidi"/>
          <w:sz w:val="24"/>
          <w:szCs w:val="24"/>
        </w:rPr>
        <w:t xml:space="preserve">. Though symptom severity varies, this classification generally reflects the clinical presentation </w:t>
      </w:r>
      <w:r>
        <w:rPr>
          <w:rFonts w:asciiTheme="majorBidi" w:hAnsiTheme="majorBidi" w:cstheme="majorBidi"/>
          <w:sz w:val="24"/>
          <w:szCs w:val="24"/>
          <w:vertAlign w:val="superscript"/>
        </w:rPr>
        <w:t>[3]</w:t>
      </w:r>
      <w:r>
        <w:rPr>
          <w:rFonts w:asciiTheme="majorBidi" w:hAnsiTheme="majorBidi" w:cstheme="majorBidi"/>
          <w:sz w:val="24"/>
          <w:szCs w:val="24"/>
        </w:rPr>
        <w:t xml:space="preserve">. HA affects approximately 1 in 5,000 male births, whereas HB is rarer, occurring in about 1 in 30,000 </w:t>
      </w:r>
      <w:r>
        <w:rPr>
          <w:rFonts w:asciiTheme="majorBidi" w:hAnsiTheme="majorBidi" w:cstheme="majorBidi"/>
          <w:sz w:val="24"/>
          <w:szCs w:val="24"/>
          <w:vertAlign w:val="superscript"/>
        </w:rPr>
        <w:t>[2]</w:t>
      </w:r>
      <w:r>
        <w:rPr>
          <w:rFonts w:asciiTheme="majorBidi" w:hAnsiTheme="majorBidi" w:cstheme="majorBidi"/>
          <w:sz w:val="24"/>
          <w:szCs w:val="24"/>
        </w:rPr>
        <w:t xml:space="preserve">. HB was first differentiated from HA in 1952 and is sometimes called "Christmas disease" </w:t>
      </w:r>
      <w:r>
        <w:rPr>
          <w:rFonts w:asciiTheme="majorBidi" w:hAnsiTheme="majorBidi" w:cstheme="majorBidi"/>
          <w:sz w:val="24"/>
          <w:szCs w:val="24"/>
          <w:vertAlign w:val="superscript"/>
        </w:rPr>
        <w:t>[4]</w:t>
      </w:r>
      <w:r>
        <w:rPr>
          <w:rFonts w:asciiTheme="majorBidi" w:hAnsiTheme="majorBidi" w:cstheme="majorBidi"/>
          <w:sz w:val="24"/>
          <w:szCs w:val="24"/>
        </w:rPr>
        <w:t xml:space="preserve">. It is also famously referred to as “the royal disease,” as Queen Victoria was a known carrier </w:t>
      </w:r>
      <w:r>
        <w:rPr>
          <w:rFonts w:asciiTheme="majorBidi" w:hAnsiTheme="majorBidi" w:cstheme="majorBidi"/>
          <w:sz w:val="24"/>
          <w:szCs w:val="24"/>
          <w:vertAlign w:val="superscript"/>
        </w:rPr>
        <w:t>[5]</w:t>
      </w:r>
      <w:r>
        <w:rPr>
          <w:rFonts w:asciiTheme="majorBidi" w:hAnsiTheme="majorBidi" w:cstheme="majorBidi"/>
          <w:sz w:val="24"/>
          <w:szCs w:val="24"/>
        </w:rPr>
        <w:t xml:space="preserve">. While HA and HB are often clinically similar, evidence suggests that HB may present with fewer bleeding episodes and better outcomes </w:t>
      </w:r>
      <w:r>
        <w:rPr>
          <w:rFonts w:asciiTheme="majorBidi" w:hAnsiTheme="majorBidi" w:cstheme="majorBidi"/>
          <w:sz w:val="24"/>
          <w:szCs w:val="24"/>
          <w:vertAlign w:val="superscript"/>
        </w:rPr>
        <w:t>[6]</w:t>
      </w:r>
      <w:r>
        <w:rPr>
          <w:rFonts w:asciiTheme="majorBidi" w:hAnsiTheme="majorBidi" w:cstheme="majorBidi"/>
          <w:sz w:val="24"/>
          <w:szCs w:val="24"/>
        </w:rPr>
        <w:t xml:space="preserve">. Recent data show that patients with HA require more frequent prophylaxis and higher clotting factor consumption than those with HB </w:t>
      </w:r>
      <w:r>
        <w:rPr>
          <w:rFonts w:asciiTheme="majorBidi" w:hAnsiTheme="majorBidi" w:cstheme="majorBidi"/>
          <w:sz w:val="24"/>
          <w:szCs w:val="24"/>
          <w:vertAlign w:val="superscript"/>
        </w:rPr>
        <w:t>[7]</w:t>
      </w:r>
      <w:r>
        <w:rPr>
          <w:rFonts w:asciiTheme="majorBidi" w:hAnsiTheme="majorBidi" w:cstheme="majorBidi"/>
          <w:sz w:val="24"/>
          <w:szCs w:val="24"/>
        </w:rPr>
        <w:t xml:space="preserve">. In a multicenter Italian study, </w:t>
      </w:r>
      <w:proofErr w:type="spellStart"/>
      <w:r>
        <w:rPr>
          <w:rFonts w:asciiTheme="majorBidi" w:hAnsiTheme="majorBidi" w:cstheme="majorBidi"/>
          <w:sz w:val="24"/>
          <w:szCs w:val="24"/>
        </w:rPr>
        <w:t>Tagariello</w:t>
      </w:r>
      <w:proofErr w:type="spellEnd"/>
      <w:r>
        <w:rPr>
          <w:rFonts w:asciiTheme="majorBidi" w:hAnsiTheme="majorBidi" w:cstheme="majorBidi"/>
          <w:sz w:val="24"/>
          <w:szCs w:val="24"/>
        </w:rPr>
        <w:t xml:space="preserve"> et al. reported that patients with HA had a threefold increased risk of requiring joint arthroplasty compared to those with HB, indicating more severe joint involvement </w:t>
      </w:r>
      <w:r>
        <w:rPr>
          <w:rFonts w:asciiTheme="majorBidi" w:hAnsiTheme="majorBidi" w:cstheme="majorBidi"/>
          <w:sz w:val="24"/>
          <w:szCs w:val="24"/>
          <w:vertAlign w:val="superscript"/>
        </w:rPr>
        <w:t>[8]</w:t>
      </w:r>
      <w:r>
        <w:rPr>
          <w:rFonts w:asciiTheme="majorBidi" w:hAnsiTheme="majorBidi" w:cstheme="majorBidi"/>
          <w:sz w:val="24"/>
          <w:szCs w:val="24"/>
        </w:rPr>
        <w:t xml:space="preserve">. The genetic mutation type plays a key role in disease severity. Null mutations, more common in HA, often lead to no detectable factor activity, while missense mutations in HB may allow for residual FIX activity, potentially reducing disease severity </w:t>
      </w:r>
      <w:r>
        <w:rPr>
          <w:rFonts w:asciiTheme="majorBidi" w:hAnsiTheme="majorBidi" w:cstheme="majorBidi"/>
          <w:sz w:val="24"/>
          <w:szCs w:val="24"/>
          <w:vertAlign w:val="superscript"/>
        </w:rPr>
        <w:t>[9]</w:t>
      </w:r>
      <w:r>
        <w:rPr>
          <w:rFonts w:asciiTheme="majorBidi" w:hAnsiTheme="majorBidi" w:cstheme="majorBidi"/>
          <w:sz w:val="24"/>
          <w:szCs w:val="24"/>
        </w:rPr>
        <w:t xml:space="preserve">. Joint bleeding primarily occurs in large synovial joints due to their rich vascular supply and mechanical stress, especially when hemostasis is compromised </w:t>
      </w:r>
      <w:r>
        <w:rPr>
          <w:rFonts w:asciiTheme="majorBidi" w:hAnsiTheme="majorBidi" w:cstheme="majorBidi"/>
          <w:sz w:val="24"/>
          <w:szCs w:val="24"/>
          <w:vertAlign w:val="superscript"/>
        </w:rPr>
        <w:t>[10]</w:t>
      </w:r>
      <w:r>
        <w:rPr>
          <w:rFonts w:asciiTheme="majorBidi" w:hAnsiTheme="majorBidi" w:cstheme="majorBidi"/>
          <w:sz w:val="24"/>
          <w:szCs w:val="24"/>
        </w:rPr>
        <w:t xml:space="preserve">. Although prophylaxis has greatly reduced </w:t>
      </w:r>
      <w:proofErr w:type="spellStart"/>
      <w:r>
        <w:rPr>
          <w:rFonts w:asciiTheme="majorBidi" w:hAnsiTheme="majorBidi" w:cstheme="majorBidi"/>
          <w:sz w:val="24"/>
          <w:szCs w:val="24"/>
        </w:rPr>
        <w:t>hemarthroses</w:t>
      </w:r>
      <w:proofErr w:type="spellEnd"/>
      <w:r>
        <w:rPr>
          <w:rFonts w:asciiTheme="majorBidi" w:hAnsiTheme="majorBidi" w:cstheme="majorBidi"/>
          <w:sz w:val="24"/>
          <w:szCs w:val="24"/>
        </w:rPr>
        <w:t xml:space="preserve">, joint dysfunction due to repeated bleeding remains a major concern. This leads to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(HA), characterized by synovial inflammation and cartilage damage, causing chronic pain and disability </w:t>
      </w:r>
      <w:r>
        <w:rPr>
          <w:rFonts w:asciiTheme="majorBidi" w:hAnsiTheme="majorBidi" w:cstheme="majorBidi"/>
          <w:sz w:val="24"/>
          <w:szCs w:val="24"/>
          <w:vertAlign w:val="superscript"/>
        </w:rPr>
        <w:t>[11]</w:t>
      </w:r>
      <w:r>
        <w:rPr>
          <w:rFonts w:asciiTheme="majorBidi" w:hAnsiTheme="majorBidi" w:cstheme="majorBidi"/>
          <w:sz w:val="24"/>
          <w:szCs w:val="24"/>
        </w:rPr>
        <w:t xml:space="preserve">. The pathogenesis of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involves both inflammatory and degenerative processes. Recurrent bleeding triggers oxidative stress and iron deposition (hemosiderin), which promotes chronic synovitis and chondrocyte apoptosis, leading to progressive joint destruction </w:t>
      </w:r>
      <w:r>
        <w:rPr>
          <w:rFonts w:asciiTheme="majorBidi" w:hAnsiTheme="majorBidi" w:cstheme="majorBidi"/>
          <w:sz w:val="24"/>
          <w:szCs w:val="24"/>
          <w:vertAlign w:val="superscript"/>
        </w:rPr>
        <w:t>[12]</w:t>
      </w:r>
      <w:r>
        <w:rPr>
          <w:rFonts w:asciiTheme="majorBidi" w:hAnsiTheme="majorBidi" w:cstheme="majorBidi"/>
          <w:sz w:val="24"/>
          <w:szCs w:val="24"/>
        </w:rPr>
        <w:t xml:space="preserve">. Commonly affected joints include the knees, ankles, elbows, hips, and shoulders </w:t>
      </w:r>
      <w:r>
        <w:rPr>
          <w:rFonts w:asciiTheme="majorBidi" w:hAnsiTheme="majorBidi" w:cstheme="majorBidi"/>
          <w:sz w:val="24"/>
          <w:szCs w:val="24"/>
          <w:vertAlign w:val="superscript"/>
        </w:rPr>
        <w:t>[12]</w:t>
      </w:r>
      <w:r>
        <w:rPr>
          <w:rFonts w:asciiTheme="majorBidi" w:hAnsiTheme="majorBidi" w:cstheme="majorBidi"/>
          <w:sz w:val="24"/>
          <w:szCs w:val="24"/>
        </w:rPr>
        <w:t xml:space="preserve">. Imaging methods like X-rays, ultrasound, and MRI are used for diagnosis </w:t>
      </w:r>
      <w:r>
        <w:rPr>
          <w:rFonts w:asciiTheme="majorBidi" w:hAnsiTheme="majorBidi" w:cstheme="majorBidi"/>
          <w:sz w:val="24"/>
          <w:szCs w:val="24"/>
          <w:vertAlign w:val="superscript"/>
        </w:rPr>
        <w:t>[13]</w:t>
      </w:r>
      <w:r>
        <w:rPr>
          <w:rFonts w:asciiTheme="majorBidi" w:hAnsiTheme="majorBidi" w:cstheme="majorBidi"/>
          <w:sz w:val="24"/>
          <w:szCs w:val="24"/>
        </w:rPr>
        <w:t xml:space="preserve">, but these may not detect early joint changes. Thus, reliable biomarkers are needed to assess disease activity and monitor treatment efficacy </w:t>
      </w:r>
      <w:r>
        <w:rPr>
          <w:rFonts w:asciiTheme="majorBidi" w:hAnsiTheme="majorBidi" w:cstheme="majorBidi"/>
          <w:sz w:val="24"/>
          <w:szCs w:val="24"/>
          <w:vertAlign w:val="superscript"/>
        </w:rPr>
        <w:t>[14]</w:t>
      </w:r>
      <w:r>
        <w:rPr>
          <w:rFonts w:asciiTheme="majorBidi" w:hAnsiTheme="majorBidi" w:cstheme="majorBidi"/>
          <w:sz w:val="24"/>
          <w:szCs w:val="24"/>
        </w:rPr>
        <w:t xml:space="preserve">. Soluble vascular cell adhesion molecule-1 (sVCAM-1) is an endothelial adhesion molecule that mediates leukocyte migration during inflammation. Elevated levels of sVCAM-1 have been reported in inflammatory conditions, including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may serve as a potential biomarker of disease severity </w:t>
      </w:r>
      <w:r>
        <w:rPr>
          <w:rFonts w:asciiTheme="majorBidi" w:hAnsiTheme="majorBidi" w:cstheme="majorBidi"/>
          <w:sz w:val="24"/>
          <w:szCs w:val="24"/>
          <w:vertAlign w:val="superscript"/>
        </w:rPr>
        <w:t>[15]</w:t>
      </w:r>
      <w:r>
        <w:rPr>
          <w:rFonts w:asciiTheme="majorBidi" w:hAnsiTheme="majorBidi" w:cstheme="majorBidi"/>
          <w:sz w:val="24"/>
          <w:szCs w:val="24"/>
        </w:rPr>
        <w:t xml:space="preserve">. Aims of the Study: Measure plasma sVCAM-1 levels in hemophilia patients vs. controls. Compare </w:t>
      </w:r>
      <w:r>
        <w:rPr>
          <w:rFonts w:asciiTheme="majorBidi" w:hAnsiTheme="majorBidi" w:cstheme="majorBidi"/>
          <w:sz w:val="24"/>
          <w:szCs w:val="24"/>
        </w:rPr>
        <w:lastRenderedPageBreak/>
        <w:t xml:space="preserve">sVCAM-1 levels between patients with and without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Correlate sVCAM-1 with clinical and hematological parameters.</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Method:</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 cross-sectional study was conducted from January to December 2024 at two major centers in Baghdad: The Welfare Teaching Hospital and the National Center of Hematology. The study included 80 hemophilia patients—40 with clinically confirmed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40 without—as well as 16 age- and sex-matched healthy individuals serving as controls.</w:t>
      </w:r>
      <w:r>
        <w:t xml:space="preserve"> </w:t>
      </w:r>
      <w:r>
        <w:rPr>
          <w:rFonts w:asciiTheme="majorBidi" w:hAnsiTheme="majorBidi" w:cstheme="majorBidi"/>
          <w:sz w:val="24"/>
          <w:szCs w:val="24"/>
          <w:highlight w:val="yellow"/>
        </w:rPr>
        <w:t>The comparatively smaller size of the control group was determined by constraints related to participant availability and resource allocation</w:t>
      </w:r>
      <w:r>
        <w:rPr>
          <w:rFonts w:asciiTheme="majorBidi" w:hAnsiTheme="majorBidi" w:cstheme="majorBidi"/>
          <w:sz w:val="24"/>
          <w:szCs w:val="24"/>
        </w:rPr>
        <w:t xml:space="preserve">. Diagnosis of hemophilia A or B was based on clinical presentation and laboratory confirmation of deficient clotting factor levels. Participants were selected according to specific inclusion criteria, which involved confirmed hemophilia with or without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regardless of age or sex. Patients with acquired hemophilia, other bleeding disorders, or incomplete records were excluded. Ethical approval was obtained from the Iraqi Board for Medical Specialization (Path64, dated 19/5/2024), and informed consent was secured from all participants. The study included 80 patients and 16 controls, but no </w:t>
      </w:r>
      <w:r>
        <w:rPr>
          <w:rFonts w:asciiTheme="majorBidi" w:hAnsiTheme="majorBidi" w:cstheme="majorBidi"/>
          <w:b/>
          <w:bCs/>
          <w:sz w:val="24"/>
          <w:szCs w:val="24"/>
        </w:rPr>
        <w:t>a priori power calculation</w:t>
      </w:r>
      <w:r>
        <w:rPr>
          <w:rFonts w:asciiTheme="majorBidi" w:hAnsiTheme="majorBidi" w:cstheme="majorBidi"/>
          <w:sz w:val="24"/>
          <w:szCs w:val="24"/>
        </w:rPr>
        <w:t xml:space="preserve"> was performed to justify this sample size. Recruitment was based on feasibility within the study period rather than formal statistical planning. While the observed differences in sVCAM-1 levels were notable, the small sample may limit the generalizability of the findings and increase the risk of overestimating diagnostic accuracy (e.g., ROC results). The authors should acknowledge this limitation and suggest that future multicenter studies incorporate a formal sample-size calculation based on the variability and effect sizes observed here to ensure adequate statistical power.  Each participant underwent clinical assessment and blood sampling. Four milliliters of venous blood were collected in sodium citrate tubes, centrifuged at 2500 g for 20 minutes at room temperature, and plasma samples were stored at -20°C for later analysis. Plasma levels of soluble vascular cell adhesion molecule-1 (sVCAM-1) were measured using a commercially available ELISA kit (</w:t>
      </w:r>
      <w:proofErr w:type="spellStart"/>
      <w:r>
        <w:rPr>
          <w:rFonts w:asciiTheme="majorBidi" w:hAnsiTheme="majorBidi" w:cstheme="majorBidi"/>
          <w:sz w:val="24"/>
          <w:szCs w:val="24"/>
        </w:rPr>
        <w:t>Ylbiont</w:t>
      </w:r>
      <w:proofErr w:type="spellEnd"/>
      <w:r>
        <w:rPr>
          <w:rFonts w:asciiTheme="majorBidi" w:hAnsiTheme="majorBidi" w:cstheme="majorBidi"/>
          <w:sz w:val="24"/>
          <w:szCs w:val="24"/>
        </w:rPr>
        <w:t>, China). The assay followed a biotin double-antibody sandwich ELISA technique, with colorimetric detection measured at 450 nm using a microplate reader. The detection range of the kit was 0.4–0.9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Samples exceeding the assay's upper limit were diluted per manufacturer's protocol for accurate quantification. Equipment used in the study included centrifuges, ELISA readers, deep freezers, and other standard laboratory instruments sourced from Germany, China, Serbia, and the UK. Statistical analysis was carried out </w:t>
      </w:r>
      <w:r>
        <w:rPr>
          <w:rFonts w:asciiTheme="majorBidi" w:hAnsiTheme="majorBidi" w:cstheme="majorBidi"/>
          <w:sz w:val="24"/>
          <w:szCs w:val="24"/>
        </w:rPr>
        <w:lastRenderedPageBreak/>
        <w:t>using SPSS version 26. Descriptive data were presented as means and standard deviations. The Student's t-test was applied to compare group means, and Pearson correlation analysis was used to assess associations between sVCAM-1 levels and clinical or hematological variables. Receiver Operating Characteristic (ROC) analysis was performed to evaluate the diagnostic accuracy of sVCAM-1, with AUC values interpreted as follows: ≥0.9 (excellent), 0.8–0.89 (good), 0.7–0.79 (fair), and &lt;0.7 (poor).</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Results:</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96 people were chosen for this investigation. They split 80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patients (70 with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and 10 with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B) into two groups: 40 without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40 with. A control group of 16 healthy people was also studied.</w:t>
      </w:r>
      <w:r>
        <w:rPr>
          <w:rFonts w:ascii="Times New Roman" w:eastAsia="Times New Roman" w:hAnsi="Times New Roman" w:cs="Times New Roman"/>
          <w:sz w:val="24"/>
          <w:szCs w:val="24"/>
        </w:rPr>
        <w:t xml:space="preserve"> </w:t>
      </w:r>
      <w:r>
        <w:rPr>
          <w:rFonts w:asciiTheme="majorBidi" w:hAnsiTheme="majorBidi" w:cstheme="majorBidi"/>
          <w:sz w:val="24"/>
          <w:szCs w:val="24"/>
        </w:rPr>
        <w:t xml:space="preserve">All patients were male. Of 80 individuals studied, 70 had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with a mean age of 27.1±7.98 years, and 10 had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B with a mean age of 29.4±7.1 years. Patients with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and B had a mean age of 3.38±3.0 and 3.6±2.5 years upon diagnosis. Patients were from National Centre of Hematology/</w:t>
      </w:r>
      <w:proofErr w:type="spellStart"/>
      <w:r>
        <w:rPr>
          <w:rFonts w:asciiTheme="majorBidi" w:hAnsiTheme="majorBidi" w:cstheme="majorBidi"/>
          <w:sz w:val="24"/>
          <w:szCs w:val="24"/>
        </w:rPr>
        <w:t>Mustansiriyah</w:t>
      </w:r>
      <w:proofErr w:type="spellEnd"/>
      <w:r>
        <w:rPr>
          <w:rFonts w:asciiTheme="majorBidi" w:hAnsiTheme="majorBidi" w:cstheme="majorBidi"/>
          <w:sz w:val="24"/>
          <w:szCs w:val="24"/>
        </w:rPr>
        <w:t xml:space="preserve"> University/Baghdad/Iraq and Welfare Teaching Hospital between January and October 2024. We also enrolled a control group of 16 healthy individuals with a mean age of 27.8±5.96 years.  Age at diagnosis was non-significant between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patients and controls (p=0.336) and between A and B (p=0.835). Table (1).</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(1): Age distribution between study parameters. </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2044"/>
        <w:gridCol w:w="1324"/>
        <w:gridCol w:w="1782"/>
        <w:gridCol w:w="1769"/>
        <w:gridCol w:w="1337"/>
        <w:gridCol w:w="1054"/>
      </w:tblGrid>
      <w:tr w:rsidR="006A601F" w:rsidTr="006A601F">
        <w:trPr>
          <w:trHeight w:val="397"/>
        </w:trPr>
        <w:tc>
          <w:tcPr>
            <w:tcW w:w="1809" w:type="pct"/>
            <w:gridSpan w:val="2"/>
            <w:vMerge w:val="restart"/>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Age</w:t>
            </w:r>
          </w:p>
        </w:tc>
        <w:tc>
          <w:tcPr>
            <w:tcW w:w="1907" w:type="pct"/>
            <w:gridSpan w:val="2"/>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 (n=t80)</w:t>
            </w:r>
          </w:p>
          <w:p w:rsidR="006A601F" w:rsidRDefault="006A601F">
            <w:pPr>
              <w:spacing w:line="360" w:lineRule="auto"/>
              <w:jc w:val="center"/>
              <w:rPr>
                <w:rFonts w:asciiTheme="majorBidi" w:hAnsiTheme="majorBidi" w:cstheme="majorBidi"/>
                <w:sz w:val="24"/>
                <w:szCs w:val="24"/>
              </w:rPr>
            </w:pPr>
          </w:p>
        </w:tc>
        <w:tc>
          <w:tcPr>
            <w:tcW w:w="718" w:type="pct"/>
            <w:vMerge w:val="restar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Controls</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(n=16)</w:t>
            </w:r>
          </w:p>
          <w:p w:rsidR="006A601F" w:rsidRDefault="006A601F">
            <w:pPr>
              <w:spacing w:line="360" w:lineRule="auto"/>
              <w:jc w:val="center"/>
              <w:rPr>
                <w:rFonts w:asciiTheme="majorBidi" w:hAnsiTheme="majorBidi" w:cstheme="majorBidi"/>
                <w:sz w:val="24"/>
                <w:szCs w:val="24"/>
              </w:rPr>
            </w:pPr>
          </w:p>
        </w:tc>
        <w:tc>
          <w:tcPr>
            <w:tcW w:w="566" w:type="pct"/>
            <w:vMerge w:val="restart"/>
            <w:tcBorders>
              <w:top w:val="trip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p-value</w:t>
            </w:r>
          </w:p>
        </w:tc>
      </w:tr>
      <w:tr w:rsidR="006A601F" w:rsidTr="006A601F">
        <w:trPr>
          <w:trHeight w:val="397"/>
        </w:trPr>
        <w:tc>
          <w:tcPr>
            <w:tcW w:w="0" w:type="auto"/>
            <w:gridSpan w:val="2"/>
            <w:vMerge/>
            <w:tcBorders>
              <w:top w:val="trip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 A</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(n=70)</w:t>
            </w:r>
          </w:p>
        </w:tc>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 B</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(n=10)</w:t>
            </w:r>
          </w:p>
        </w:tc>
        <w:tc>
          <w:tcPr>
            <w:tcW w:w="0" w:type="auto"/>
            <w:vMerge/>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0" w:type="auto"/>
            <w:vMerge/>
            <w:tcBorders>
              <w:top w:val="triple" w:sz="4" w:space="0" w:color="auto"/>
              <w:left w:val="single" w:sz="4" w:space="0" w:color="auto"/>
              <w:bottom w:val="single" w:sz="4" w:space="0" w:color="auto"/>
              <w:right w:val="triple" w:sz="4" w:space="0" w:color="auto"/>
            </w:tcBorders>
            <w:vAlign w:val="center"/>
            <w:hideMark/>
          </w:tcPr>
          <w:p w:rsidR="006A601F" w:rsidRDefault="006A601F">
            <w:pPr>
              <w:spacing w:line="240" w:lineRule="auto"/>
              <w:rPr>
                <w:rFonts w:asciiTheme="majorBidi" w:hAnsiTheme="majorBidi" w:cstheme="majorBidi"/>
                <w:sz w:val="24"/>
                <w:szCs w:val="24"/>
              </w:rPr>
            </w:pPr>
          </w:p>
        </w:tc>
      </w:tr>
      <w:tr w:rsidR="006A601F" w:rsidTr="006A601F">
        <w:trPr>
          <w:trHeight w:val="397"/>
        </w:trPr>
        <w:tc>
          <w:tcPr>
            <w:tcW w:w="1098"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Age at diagnosis</w:t>
            </w:r>
          </w:p>
        </w:tc>
        <w:tc>
          <w:tcPr>
            <w:tcW w:w="7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57"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3.38±3.0</w:t>
            </w:r>
          </w:p>
        </w:tc>
        <w:tc>
          <w:tcPr>
            <w:tcW w:w="94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3.6±2.5</w:t>
            </w:r>
          </w:p>
        </w:tc>
        <w:tc>
          <w:tcPr>
            <w:tcW w:w="718" w:type="pct"/>
            <w:tcBorders>
              <w:top w:val="single" w:sz="4" w:space="0" w:color="auto"/>
              <w:left w:val="single" w:sz="4" w:space="0" w:color="auto"/>
              <w:bottom w:val="single" w:sz="4" w:space="0" w:color="auto"/>
              <w:right w:val="single" w:sz="4" w:space="0" w:color="auto"/>
            </w:tcBorders>
            <w:vAlign w:val="center"/>
          </w:tcPr>
          <w:p w:rsidR="006A601F" w:rsidRDefault="006A601F">
            <w:pPr>
              <w:spacing w:line="360" w:lineRule="auto"/>
              <w:jc w:val="center"/>
              <w:rPr>
                <w:rFonts w:asciiTheme="majorBidi" w:hAnsiTheme="majorBidi" w:cstheme="majorBidi"/>
                <w:sz w:val="24"/>
                <w:szCs w:val="24"/>
              </w:rPr>
            </w:pPr>
          </w:p>
        </w:tc>
        <w:tc>
          <w:tcPr>
            <w:tcW w:w="566"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0.835</w:t>
            </w:r>
          </w:p>
        </w:tc>
      </w:tr>
      <w:tr w:rsidR="006A601F" w:rsidTr="006A601F">
        <w:trPr>
          <w:trHeight w:val="397"/>
        </w:trPr>
        <w:tc>
          <w:tcPr>
            <w:tcW w:w="1098"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Age at research</w:t>
            </w:r>
          </w:p>
        </w:tc>
        <w:tc>
          <w:tcPr>
            <w:tcW w:w="7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57"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27.1±7.98</w:t>
            </w:r>
          </w:p>
        </w:tc>
        <w:tc>
          <w:tcPr>
            <w:tcW w:w="94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29.4±7.1</w:t>
            </w:r>
          </w:p>
        </w:tc>
        <w:tc>
          <w:tcPr>
            <w:tcW w:w="71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27.8±5.96</w:t>
            </w:r>
          </w:p>
        </w:tc>
        <w:tc>
          <w:tcPr>
            <w:tcW w:w="566"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0.336</w:t>
            </w:r>
          </w:p>
        </w:tc>
      </w:tr>
      <w:tr w:rsidR="006A601F" w:rsidTr="006A601F">
        <w:trPr>
          <w:trHeight w:val="397"/>
        </w:trPr>
        <w:tc>
          <w:tcPr>
            <w:tcW w:w="5000" w:type="pct"/>
            <w:gridSpan w:val="6"/>
            <w:tcBorders>
              <w:top w:val="single" w:sz="4" w:space="0" w:color="auto"/>
              <w:left w:val="triple" w:sz="4" w:space="0" w:color="auto"/>
              <w:bottom w:val="triple" w:sz="4" w:space="0" w:color="auto"/>
              <w:right w:val="trip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p-value significant at the 0.05 level</w:t>
            </w: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affected 50%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and B patients. Half of the patients had a first-degree relative and 50% a second-degree relative on the mother's side had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w:t>
      </w:r>
      <w:r>
        <w:rPr>
          <w:rFonts w:asciiTheme="majorBidi" w:hAnsiTheme="majorBidi" w:cstheme="majorBidi"/>
          <w:sz w:val="24"/>
          <w:szCs w:val="24"/>
        </w:rPr>
        <w:br/>
        <w:t xml:space="preserve">90%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patients had factor VIII levels below 1%, whereas 10% had levels above 1%. 50%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B patients had factor IX levels below 1%.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Joint Health Score (HJHS) exceeded 10 in 51.43%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and 60%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B patients with </w:t>
      </w:r>
      <w:proofErr w:type="spellStart"/>
      <w:r>
        <w:rPr>
          <w:rFonts w:asciiTheme="majorBidi" w:hAnsiTheme="majorBidi" w:cstheme="majorBidi"/>
          <w:sz w:val="24"/>
          <w:szCs w:val="24"/>
        </w:rPr>
        <w:lastRenderedPageBreak/>
        <w:t>arthropathy</w:t>
      </w:r>
      <w:proofErr w:type="spellEnd"/>
      <w:r>
        <w:rPr>
          <w:rFonts w:asciiTheme="majorBidi" w:hAnsiTheme="majorBidi" w:cstheme="majorBidi"/>
          <w:sz w:val="24"/>
          <w:szCs w:val="24"/>
        </w:rPr>
        <w:t xml:space="preserve">. In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and B, ankle joints are most afflicted (50%), followed by knees (30%) and elbows (20%). Of the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patients receiving factor VIII, 58 (83%) received ordinary factor VIII and 12 (17%) received </w:t>
      </w:r>
      <w:proofErr w:type="spellStart"/>
      <w:r>
        <w:rPr>
          <w:rFonts w:asciiTheme="majorBidi" w:hAnsiTheme="majorBidi" w:cstheme="majorBidi"/>
          <w:sz w:val="24"/>
          <w:szCs w:val="24"/>
        </w:rPr>
        <w:t>Hemlibra</w:t>
      </w:r>
      <w:proofErr w:type="spellEnd"/>
      <w:r>
        <w:rPr>
          <w:rFonts w:asciiTheme="majorBidi" w:hAnsiTheme="majorBidi" w:cstheme="majorBidi"/>
          <w:sz w:val="24"/>
          <w:szCs w:val="24"/>
        </w:rPr>
        <w:t xml:space="preserve">. However, 90%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B patients receiving factor IX received ordinary factor IX and 10% received </w:t>
      </w:r>
      <w:proofErr w:type="spellStart"/>
      <w:r>
        <w:rPr>
          <w:rFonts w:asciiTheme="majorBidi" w:hAnsiTheme="majorBidi" w:cstheme="majorBidi"/>
          <w:sz w:val="24"/>
          <w:szCs w:val="24"/>
        </w:rPr>
        <w:t>Hemlibra</w:t>
      </w:r>
      <w:proofErr w:type="spellEnd"/>
      <w:r>
        <w:rPr>
          <w:rFonts w:asciiTheme="majorBidi" w:hAnsiTheme="majorBidi" w:cstheme="majorBidi"/>
          <w:sz w:val="24"/>
          <w:szCs w:val="24"/>
        </w:rPr>
        <w:t>.</w:t>
      </w:r>
      <w:r>
        <w:rPr>
          <w:rFonts w:asciiTheme="majorBidi" w:hAnsiTheme="majorBidi" w:cstheme="majorBidi"/>
          <w:sz w:val="24"/>
          <w:szCs w:val="24"/>
        </w:rPr>
        <w:br/>
        <w:t xml:space="preserve">About 22.86 percent of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A patients had viral hepatitis type C. Table (2).</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Table (2): Data collected from patients file including:</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2345"/>
        <w:gridCol w:w="1737"/>
        <w:gridCol w:w="1035"/>
        <w:gridCol w:w="1579"/>
        <w:gridCol w:w="1035"/>
        <w:gridCol w:w="1579"/>
      </w:tblGrid>
      <w:tr w:rsidR="006A601F" w:rsidTr="006A601F">
        <w:trPr>
          <w:trHeight w:val="454"/>
        </w:trPr>
        <w:tc>
          <w:tcPr>
            <w:tcW w:w="2192" w:type="pct"/>
            <w:gridSpan w:val="2"/>
            <w:vMerge w:val="restart"/>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br w:type="page"/>
            </w:r>
          </w:p>
        </w:tc>
        <w:tc>
          <w:tcPr>
            <w:tcW w:w="1404" w:type="pct"/>
            <w:gridSpan w:val="2"/>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Hemophilia A</w:t>
            </w:r>
          </w:p>
        </w:tc>
        <w:tc>
          <w:tcPr>
            <w:tcW w:w="1404" w:type="pct"/>
            <w:gridSpan w:val="2"/>
            <w:tcBorders>
              <w:top w:val="trip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Hemophilia B</w:t>
            </w:r>
          </w:p>
        </w:tc>
      </w:tr>
      <w:tr w:rsidR="006A601F" w:rsidTr="006A601F">
        <w:trPr>
          <w:trHeight w:val="454"/>
        </w:trPr>
        <w:tc>
          <w:tcPr>
            <w:tcW w:w="0" w:type="auto"/>
            <w:gridSpan w:val="2"/>
            <w:vMerge/>
            <w:tcBorders>
              <w:top w:val="trip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Number</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Percentage %</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Number</w:t>
            </w:r>
          </w:p>
        </w:tc>
        <w:tc>
          <w:tcPr>
            <w:tcW w:w="848" w:type="pct"/>
            <w:tcBorders>
              <w:top w:val="sing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Percentage %</w:t>
            </w:r>
          </w:p>
        </w:tc>
      </w:tr>
      <w:tr w:rsidR="006A601F" w:rsidTr="006A601F">
        <w:trPr>
          <w:trHeight w:val="454"/>
        </w:trPr>
        <w:tc>
          <w:tcPr>
            <w:tcW w:w="125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Family history</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Positive</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70</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tcPr>
          <w:p w:rsidR="006A601F" w:rsidRDefault="006A601F">
            <w:pPr>
              <w:spacing w:after="0" w:line="360" w:lineRule="auto"/>
              <w:jc w:val="center"/>
              <w:rPr>
                <w:rFonts w:asciiTheme="majorBidi" w:hAnsiTheme="majorBidi" w:cstheme="majorBidi"/>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6A601F" w:rsidRDefault="006A601F">
            <w:pPr>
              <w:spacing w:after="0" w:line="360" w:lineRule="auto"/>
              <w:jc w:val="center"/>
              <w:rPr>
                <w:rFonts w:asciiTheme="majorBidi" w:hAnsiTheme="majorBidi" w:cstheme="majorBidi"/>
                <w:sz w:val="24"/>
                <w:szCs w:val="24"/>
              </w:rPr>
            </w:pPr>
          </w:p>
        </w:tc>
        <w:tc>
          <w:tcPr>
            <w:tcW w:w="848" w:type="pct"/>
            <w:tcBorders>
              <w:top w:val="single" w:sz="4" w:space="0" w:color="auto"/>
              <w:left w:val="single" w:sz="4" w:space="0" w:color="auto"/>
              <w:bottom w:val="single" w:sz="4" w:space="0" w:color="auto"/>
              <w:right w:val="single" w:sz="4" w:space="0" w:color="auto"/>
            </w:tcBorders>
            <w:vAlign w:val="center"/>
          </w:tcPr>
          <w:p w:rsidR="006A601F" w:rsidRDefault="006A601F">
            <w:pPr>
              <w:spacing w:after="0" w:line="360" w:lineRule="auto"/>
              <w:jc w:val="center"/>
              <w:rPr>
                <w:rFonts w:asciiTheme="majorBidi" w:hAnsiTheme="majorBidi" w:cstheme="majorBidi"/>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6A601F" w:rsidRDefault="006A601F">
            <w:pPr>
              <w:spacing w:after="0" w:line="360" w:lineRule="auto"/>
              <w:jc w:val="center"/>
              <w:rPr>
                <w:rFonts w:asciiTheme="majorBidi" w:hAnsiTheme="majorBidi" w:cstheme="majorBidi"/>
                <w:sz w:val="24"/>
                <w:szCs w:val="24"/>
              </w:rPr>
            </w:pPr>
          </w:p>
        </w:tc>
        <w:tc>
          <w:tcPr>
            <w:tcW w:w="848" w:type="pct"/>
            <w:tcBorders>
              <w:top w:val="single" w:sz="4" w:space="0" w:color="auto"/>
              <w:left w:val="single" w:sz="4" w:space="0" w:color="auto"/>
              <w:bottom w:val="single" w:sz="4" w:space="0" w:color="auto"/>
              <w:right w:val="triple" w:sz="4" w:space="0" w:color="auto"/>
            </w:tcBorders>
            <w:vAlign w:val="center"/>
          </w:tcPr>
          <w:p w:rsidR="006A601F" w:rsidRDefault="006A601F">
            <w:pPr>
              <w:spacing w:after="0" w:line="360" w:lineRule="auto"/>
              <w:jc w:val="center"/>
              <w:rPr>
                <w:rFonts w:asciiTheme="majorBidi" w:hAnsiTheme="majorBidi" w:cstheme="majorBidi"/>
                <w:sz w:val="24"/>
                <w:szCs w:val="24"/>
              </w:rPr>
            </w:pPr>
          </w:p>
        </w:tc>
      </w:tr>
      <w:tr w:rsidR="006A601F" w:rsidTr="006A601F">
        <w:trPr>
          <w:trHeight w:val="454"/>
        </w:trPr>
        <w:tc>
          <w:tcPr>
            <w:tcW w:w="125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Factor</w:t>
            </w:r>
          </w:p>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VIII / IX</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&lt; 1%</w:t>
            </w:r>
          </w:p>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(sever)</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63</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90%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1_5%</w:t>
            </w:r>
          </w:p>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(moderate)</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50%</w:t>
            </w:r>
          </w:p>
        </w:tc>
      </w:tr>
      <w:tr w:rsidR="006A601F" w:rsidTr="006A601F">
        <w:trPr>
          <w:trHeight w:val="454"/>
        </w:trPr>
        <w:tc>
          <w:tcPr>
            <w:tcW w:w="125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HJHS in </w:t>
            </w:r>
            <w:proofErr w:type="spellStart"/>
            <w:r>
              <w:rPr>
                <w:rFonts w:asciiTheme="majorBidi" w:hAnsiTheme="majorBidi" w:cstheme="majorBidi"/>
                <w:sz w:val="24"/>
                <w:szCs w:val="24"/>
              </w:rPr>
              <w:t>Arthropathy</w:t>
            </w:r>
            <w:proofErr w:type="spellEnd"/>
          </w:p>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Group</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5_10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17</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48.57%</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40%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&gt;10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18</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51.43%</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60%</w:t>
            </w:r>
          </w:p>
        </w:tc>
      </w:tr>
      <w:tr w:rsidR="006A601F" w:rsidTr="006A601F">
        <w:trPr>
          <w:trHeight w:val="454"/>
        </w:trPr>
        <w:tc>
          <w:tcPr>
            <w:tcW w:w="125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after="0" w:line="360" w:lineRule="auto"/>
              <w:jc w:val="center"/>
              <w:rPr>
                <w:rFonts w:asciiTheme="majorBidi" w:hAnsiTheme="majorBidi" w:cstheme="majorBidi"/>
                <w:sz w:val="24"/>
                <w:szCs w:val="24"/>
              </w:rPr>
            </w:pPr>
          </w:p>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Joint involved</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Ankle</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35</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Knee</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21</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30%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Elbow</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14</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20%</w:t>
            </w:r>
          </w:p>
        </w:tc>
      </w:tr>
      <w:tr w:rsidR="006A601F" w:rsidTr="006A601F">
        <w:trPr>
          <w:trHeight w:val="454"/>
        </w:trPr>
        <w:tc>
          <w:tcPr>
            <w:tcW w:w="125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Treatments</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proofErr w:type="spellStart"/>
            <w:r>
              <w:rPr>
                <w:rFonts w:asciiTheme="majorBidi" w:hAnsiTheme="majorBidi" w:cstheme="majorBidi"/>
                <w:sz w:val="24"/>
                <w:szCs w:val="24"/>
              </w:rPr>
              <w:t>FactorVIII</w:t>
            </w:r>
            <w:proofErr w:type="spellEnd"/>
            <w:r>
              <w:rPr>
                <w:rFonts w:asciiTheme="majorBidi" w:hAnsiTheme="majorBidi" w:cstheme="majorBidi"/>
                <w:sz w:val="24"/>
                <w:szCs w:val="24"/>
              </w:rPr>
              <w:t xml:space="preserve"> / IX</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58</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83%</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9</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90%</w:t>
            </w:r>
          </w:p>
        </w:tc>
      </w:tr>
      <w:tr w:rsidR="006A601F" w:rsidTr="006A601F">
        <w:trPr>
          <w:trHeight w:val="45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proofErr w:type="spellStart"/>
            <w:r>
              <w:rPr>
                <w:rFonts w:asciiTheme="majorBidi" w:hAnsiTheme="majorBidi" w:cstheme="majorBidi"/>
                <w:sz w:val="24"/>
                <w:szCs w:val="24"/>
              </w:rPr>
              <w:t>Hemlibra</w:t>
            </w:r>
            <w:proofErr w:type="spellEnd"/>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12</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17%</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84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6A601F" w:rsidTr="006A601F">
        <w:trPr>
          <w:trHeight w:val="454"/>
        </w:trPr>
        <w:tc>
          <w:tcPr>
            <w:tcW w:w="1259" w:type="pct"/>
            <w:vMerge w:val="restart"/>
            <w:tcBorders>
              <w:top w:val="single" w:sz="4" w:space="0" w:color="auto"/>
              <w:left w:val="triple" w:sz="4" w:space="0" w:color="auto"/>
              <w:bottom w:val="triple" w:sz="4" w:space="0" w:color="auto"/>
              <w:right w:val="single" w:sz="4" w:space="0" w:color="auto"/>
            </w:tcBorders>
            <w:shd w:val="clear" w:color="auto" w:fill="F2F2F2" w:themeFill="background1" w:themeFillShade="F2"/>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Viral screen</w:t>
            </w:r>
          </w:p>
        </w:tc>
        <w:tc>
          <w:tcPr>
            <w:tcW w:w="93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HCV Positive</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16</w:t>
            </w:r>
          </w:p>
        </w:tc>
        <w:tc>
          <w:tcPr>
            <w:tcW w:w="84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22.86%</w:t>
            </w:r>
          </w:p>
        </w:tc>
        <w:tc>
          <w:tcPr>
            <w:tcW w:w="55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0</w:t>
            </w:r>
          </w:p>
        </w:tc>
        <w:tc>
          <w:tcPr>
            <w:tcW w:w="848" w:type="pct"/>
            <w:tcBorders>
              <w:top w:val="single" w:sz="4" w:space="0" w:color="auto"/>
              <w:left w:val="single" w:sz="4" w:space="0" w:color="auto"/>
              <w:bottom w:val="single" w:sz="4" w:space="0" w:color="auto"/>
              <w:right w:val="triple" w:sz="4" w:space="0" w:color="auto"/>
            </w:tcBorders>
            <w:vAlign w:val="center"/>
          </w:tcPr>
          <w:p w:rsidR="006A601F" w:rsidRDefault="006A601F">
            <w:pPr>
              <w:spacing w:after="0" w:line="360" w:lineRule="auto"/>
              <w:jc w:val="center"/>
              <w:rPr>
                <w:rFonts w:asciiTheme="majorBidi" w:hAnsiTheme="majorBidi" w:cstheme="majorBidi"/>
                <w:sz w:val="24"/>
                <w:szCs w:val="24"/>
              </w:rPr>
            </w:pPr>
          </w:p>
        </w:tc>
      </w:tr>
      <w:tr w:rsidR="006A601F" w:rsidTr="006A601F">
        <w:trPr>
          <w:trHeight w:val="454"/>
        </w:trPr>
        <w:tc>
          <w:tcPr>
            <w:tcW w:w="0" w:type="auto"/>
            <w:vMerge/>
            <w:tcBorders>
              <w:top w:val="single" w:sz="4" w:space="0" w:color="auto"/>
              <w:left w:val="triple" w:sz="4" w:space="0" w:color="auto"/>
              <w:bottom w:val="triple" w:sz="4" w:space="0" w:color="auto"/>
              <w:right w:val="single" w:sz="4" w:space="0" w:color="auto"/>
            </w:tcBorders>
            <w:vAlign w:val="center"/>
            <w:hideMark/>
          </w:tcPr>
          <w:p w:rsidR="006A601F" w:rsidRDefault="006A601F">
            <w:pPr>
              <w:spacing w:after="0"/>
              <w:rPr>
                <w:rFonts w:asciiTheme="majorBidi" w:hAnsiTheme="majorBidi" w:cstheme="majorBidi"/>
                <w:sz w:val="24"/>
                <w:szCs w:val="24"/>
              </w:rPr>
            </w:pPr>
          </w:p>
        </w:tc>
        <w:tc>
          <w:tcPr>
            <w:tcW w:w="933" w:type="pct"/>
            <w:tcBorders>
              <w:top w:val="single" w:sz="4" w:space="0" w:color="auto"/>
              <w:left w:val="single" w:sz="4" w:space="0" w:color="auto"/>
              <w:bottom w:val="trip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Negative</w:t>
            </w:r>
          </w:p>
        </w:tc>
        <w:tc>
          <w:tcPr>
            <w:tcW w:w="556" w:type="pct"/>
            <w:tcBorders>
              <w:top w:val="single" w:sz="4" w:space="0" w:color="auto"/>
              <w:left w:val="single" w:sz="4" w:space="0" w:color="auto"/>
              <w:bottom w:val="trip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54</w:t>
            </w:r>
          </w:p>
        </w:tc>
        <w:tc>
          <w:tcPr>
            <w:tcW w:w="848" w:type="pct"/>
            <w:tcBorders>
              <w:top w:val="single" w:sz="4" w:space="0" w:color="auto"/>
              <w:left w:val="single" w:sz="4" w:space="0" w:color="auto"/>
              <w:bottom w:val="trip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77.14%</w:t>
            </w:r>
          </w:p>
        </w:tc>
        <w:tc>
          <w:tcPr>
            <w:tcW w:w="556" w:type="pct"/>
            <w:tcBorders>
              <w:top w:val="single" w:sz="4" w:space="0" w:color="auto"/>
              <w:left w:val="single" w:sz="4" w:space="0" w:color="auto"/>
              <w:bottom w:val="triple" w:sz="4" w:space="0" w:color="auto"/>
              <w:right w:val="sing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848" w:type="pct"/>
            <w:tcBorders>
              <w:top w:val="single" w:sz="4" w:space="0" w:color="auto"/>
              <w:left w:val="single" w:sz="4" w:space="0" w:color="auto"/>
              <w:bottom w:val="triple" w:sz="4" w:space="0" w:color="auto"/>
              <w:right w:val="triple" w:sz="4" w:space="0" w:color="auto"/>
            </w:tcBorders>
            <w:vAlign w:val="center"/>
            <w:hideMark/>
          </w:tcPr>
          <w:p w:rsidR="006A601F" w:rsidRDefault="006A601F">
            <w:pPr>
              <w:spacing w:after="0" w:line="360" w:lineRule="auto"/>
              <w:jc w:val="center"/>
              <w:rPr>
                <w:rFonts w:asciiTheme="majorBidi" w:hAnsiTheme="majorBidi" w:cstheme="majorBidi"/>
                <w:sz w:val="24"/>
                <w:szCs w:val="24"/>
              </w:rPr>
            </w:pPr>
            <w:r>
              <w:rPr>
                <w:rFonts w:asciiTheme="majorBidi" w:hAnsiTheme="majorBidi" w:cstheme="majorBidi"/>
                <w:sz w:val="24"/>
                <w:szCs w:val="24"/>
              </w:rPr>
              <w:t>100%</w:t>
            </w: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The parameters compared include white blood cell count (WBC), hemoglobin (</w:t>
      </w:r>
      <w:proofErr w:type="spellStart"/>
      <w:r>
        <w:rPr>
          <w:rFonts w:asciiTheme="majorBidi" w:hAnsiTheme="majorBidi" w:cstheme="majorBidi"/>
          <w:sz w:val="24"/>
          <w:szCs w:val="24"/>
        </w:rPr>
        <w:t>Hb</w:t>
      </w:r>
      <w:proofErr w:type="spellEnd"/>
      <w:r>
        <w:rPr>
          <w:rFonts w:asciiTheme="majorBidi" w:hAnsiTheme="majorBidi" w:cstheme="majorBidi"/>
          <w:sz w:val="24"/>
          <w:szCs w:val="24"/>
        </w:rPr>
        <w:t xml:space="preserve">), platelet count, erythrocyte sedimentation rate (ESR), and soluble vascular cell adhesion molecule-1 (sVCAM-1). </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Table 3 shows there were significant differences in all hematological parameters and sVCAM-1 between hemophilia groups and controls p value (0.001, 0.001, 0.015, 0.03 and 0.01) respectively.</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(3): Comparison of Hematological parameters and sVCAM1 among study Groups </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2121"/>
        <w:gridCol w:w="1333"/>
        <w:gridCol w:w="1758"/>
        <w:gridCol w:w="1743"/>
        <w:gridCol w:w="1318"/>
        <w:gridCol w:w="1037"/>
      </w:tblGrid>
      <w:tr w:rsidR="006A601F" w:rsidTr="006A601F">
        <w:trPr>
          <w:trHeight w:val="567"/>
        </w:trPr>
        <w:tc>
          <w:tcPr>
            <w:tcW w:w="1854" w:type="pct"/>
            <w:gridSpan w:val="2"/>
            <w:vMerge w:val="restart"/>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Parameters</w:t>
            </w:r>
          </w:p>
        </w:tc>
        <w:tc>
          <w:tcPr>
            <w:tcW w:w="1879" w:type="pct"/>
            <w:gridSpan w:val="2"/>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(n=80)</w:t>
            </w:r>
          </w:p>
        </w:tc>
        <w:tc>
          <w:tcPr>
            <w:tcW w:w="708" w:type="pct"/>
            <w:vMerge w:val="restar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Controls</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(n=16)</w:t>
            </w:r>
          </w:p>
        </w:tc>
        <w:tc>
          <w:tcPr>
            <w:tcW w:w="558" w:type="pct"/>
            <w:vMerge w:val="restart"/>
            <w:tcBorders>
              <w:top w:val="trip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p-value</w:t>
            </w:r>
          </w:p>
        </w:tc>
      </w:tr>
      <w:tr w:rsidR="006A601F" w:rsidTr="006A601F">
        <w:trPr>
          <w:trHeight w:val="567"/>
        </w:trPr>
        <w:tc>
          <w:tcPr>
            <w:tcW w:w="0" w:type="auto"/>
            <w:gridSpan w:val="2"/>
            <w:vMerge/>
            <w:tcBorders>
              <w:top w:val="trip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 A</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(n=70)</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Hemophilia B</w:t>
            </w:r>
          </w:p>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(n=10)</w:t>
            </w:r>
          </w:p>
        </w:tc>
        <w:tc>
          <w:tcPr>
            <w:tcW w:w="0" w:type="auto"/>
            <w:vMerge/>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0" w:type="auto"/>
            <w:vMerge/>
            <w:tcBorders>
              <w:top w:val="triple" w:sz="4" w:space="0" w:color="auto"/>
              <w:left w:val="single" w:sz="4" w:space="0" w:color="auto"/>
              <w:bottom w:val="single" w:sz="4" w:space="0" w:color="auto"/>
              <w:right w:val="triple" w:sz="4" w:space="0" w:color="auto"/>
            </w:tcBorders>
            <w:vAlign w:val="center"/>
            <w:hideMark/>
          </w:tcPr>
          <w:p w:rsidR="006A601F" w:rsidRDefault="006A601F">
            <w:pPr>
              <w:spacing w:line="240" w:lineRule="auto"/>
              <w:rPr>
                <w:rFonts w:asciiTheme="majorBidi" w:hAnsiTheme="majorBidi" w:cstheme="majorBidi"/>
                <w:sz w:val="24"/>
                <w:szCs w:val="24"/>
              </w:rPr>
            </w:pPr>
          </w:p>
        </w:tc>
      </w:tr>
      <w:tr w:rsidR="006A601F" w:rsidTr="006A601F">
        <w:trPr>
          <w:trHeight w:val="567"/>
        </w:trPr>
        <w:tc>
          <w:tcPr>
            <w:tcW w:w="1139"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WBC x 10</w:t>
            </w:r>
            <w:r>
              <w:rPr>
                <w:rFonts w:asciiTheme="majorBidi" w:hAnsiTheme="majorBidi" w:cstheme="majorBidi"/>
                <w:b/>
                <w:bCs/>
                <w:sz w:val="24"/>
                <w:szCs w:val="24"/>
                <w:vertAlign w:val="superscript"/>
              </w:rPr>
              <w:t xml:space="preserve">9 </w:t>
            </w:r>
            <w:r>
              <w:rPr>
                <w:rFonts w:asciiTheme="majorBidi" w:hAnsiTheme="majorBidi" w:cstheme="majorBidi"/>
                <w:b/>
                <w:bCs/>
                <w:sz w:val="24"/>
                <w:szCs w:val="24"/>
              </w:rPr>
              <w:t>/L</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11.8±3.52</w:t>
            </w:r>
          </w:p>
        </w:tc>
        <w:tc>
          <w:tcPr>
            <w:tcW w:w="93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11.0±3.09</w:t>
            </w:r>
          </w:p>
        </w:tc>
        <w:tc>
          <w:tcPr>
            <w:tcW w:w="7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7.5±1.75</w:t>
            </w:r>
          </w:p>
        </w:tc>
        <w:tc>
          <w:tcPr>
            <w:tcW w:w="55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0.001*</w:t>
            </w:r>
          </w:p>
        </w:tc>
      </w:tr>
      <w:tr w:rsidR="006A601F" w:rsidTr="006A601F">
        <w:trPr>
          <w:trHeight w:val="567"/>
        </w:trPr>
        <w:tc>
          <w:tcPr>
            <w:tcW w:w="1139"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Hb</w:t>
            </w:r>
            <w:proofErr w:type="spellEnd"/>
            <w:r>
              <w:rPr>
                <w:rFonts w:asciiTheme="majorBidi" w:hAnsiTheme="majorBidi" w:cstheme="majorBidi"/>
                <w:b/>
                <w:bCs/>
                <w:sz w:val="24"/>
                <w:szCs w:val="24"/>
              </w:rPr>
              <w:t xml:space="preserve"> g/dl</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11.4±1.05</w:t>
            </w:r>
          </w:p>
        </w:tc>
        <w:tc>
          <w:tcPr>
            <w:tcW w:w="93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11.8±1.22</w:t>
            </w:r>
          </w:p>
        </w:tc>
        <w:tc>
          <w:tcPr>
            <w:tcW w:w="7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12.8±1.23</w:t>
            </w:r>
          </w:p>
        </w:tc>
        <w:tc>
          <w:tcPr>
            <w:tcW w:w="55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0.001*</w:t>
            </w:r>
          </w:p>
        </w:tc>
      </w:tr>
      <w:tr w:rsidR="006A601F" w:rsidTr="006A601F">
        <w:trPr>
          <w:trHeight w:val="567"/>
        </w:trPr>
        <w:tc>
          <w:tcPr>
            <w:tcW w:w="1139"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Platelets x 10</w:t>
            </w:r>
            <w:r>
              <w:rPr>
                <w:rFonts w:asciiTheme="majorBidi" w:hAnsiTheme="majorBidi" w:cstheme="majorBidi"/>
                <w:b/>
                <w:bCs/>
                <w:sz w:val="24"/>
                <w:szCs w:val="24"/>
                <w:vertAlign w:val="superscript"/>
              </w:rPr>
              <w:t xml:space="preserve">9 </w:t>
            </w:r>
            <w:r>
              <w:rPr>
                <w:rFonts w:asciiTheme="majorBidi" w:hAnsiTheme="majorBidi" w:cstheme="majorBidi"/>
                <w:b/>
                <w:bCs/>
                <w:sz w:val="24"/>
                <w:szCs w:val="24"/>
              </w:rPr>
              <w:t>/L</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190±37.6</w:t>
            </w:r>
          </w:p>
        </w:tc>
        <w:tc>
          <w:tcPr>
            <w:tcW w:w="93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236±85.5</w:t>
            </w:r>
          </w:p>
        </w:tc>
        <w:tc>
          <w:tcPr>
            <w:tcW w:w="7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198±45.6</w:t>
            </w:r>
          </w:p>
        </w:tc>
        <w:tc>
          <w:tcPr>
            <w:tcW w:w="55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0.015*</w:t>
            </w:r>
          </w:p>
        </w:tc>
      </w:tr>
      <w:tr w:rsidR="006A601F" w:rsidTr="006A601F">
        <w:trPr>
          <w:trHeight w:val="567"/>
        </w:trPr>
        <w:tc>
          <w:tcPr>
            <w:tcW w:w="1139"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ESR</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24±9.08</w:t>
            </w:r>
          </w:p>
        </w:tc>
        <w:tc>
          <w:tcPr>
            <w:tcW w:w="93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25±11.82</w:t>
            </w:r>
          </w:p>
        </w:tc>
        <w:tc>
          <w:tcPr>
            <w:tcW w:w="7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15±4.8</w:t>
            </w:r>
          </w:p>
        </w:tc>
        <w:tc>
          <w:tcPr>
            <w:tcW w:w="55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0.03*</w:t>
            </w:r>
          </w:p>
        </w:tc>
      </w:tr>
      <w:tr w:rsidR="006A601F" w:rsidTr="006A601F">
        <w:trPr>
          <w:trHeight w:val="567"/>
        </w:trPr>
        <w:tc>
          <w:tcPr>
            <w:tcW w:w="1139"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sVCAM-1</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3.21±2.5</w:t>
            </w:r>
          </w:p>
        </w:tc>
        <w:tc>
          <w:tcPr>
            <w:tcW w:w="936"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3.7±2.7</w:t>
            </w:r>
          </w:p>
        </w:tc>
        <w:tc>
          <w:tcPr>
            <w:tcW w:w="7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0.69±0.24</w:t>
            </w:r>
          </w:p>
        </w:tc>
        <w:tc>
          <w:tcPr>
            <w:tcW w:w="558"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0.01*</w:t>
            </w:r>
          </w:p>
        </w:tc>
      </w:tr>
      <w:tr w:rsidR="006A601F" w:rsidTr="006A601F">
        <w:trPr>
          <w:trHeight w:val="567"/>
        </w:trPr>
        <w:tc>
          <w:tcPr>
            <w:tcW w:w="5000" w:type="pct"/>
            <w:gridSpan w:val="6"/>
            <w:tcBorders>
              <w:top w:val="single" w:sz="4" w:space="0" w:color="auto"/>
              <w:left w:val="triple" w:sz="4" w:space="0" w:color="auto"/>
              <w:bottom w:val="triple" w:sz="4" w:space="0" w:color="auto"/>
              <w:right w:val="triple" w:sz="4" w:space="0" w:color="auto"/>
            </w:tcBorders>
            <w:shd w:val="clear" w:color="auto" w:fill="F2F2F2" w:themeFill="background1" w:themeFillShade="F2"/>
            <w:vAlign w:val="center"/>
            <w:hideMark/>
          </w:tcPr>
          <w:p w:rsidR="006A601F" w:rsidRDefault="006A601F">
            <w:pPr>
              <w:spacing w:line="360" w:lineRule="auto"/>
              <w:jc w:val="center"/>
              <w:rPr>
                <w:rFonts w:asciiTheme="majorBidi" w:hAnsiTheme="majorBidi" w:cstheme="majorBidi"/>
                <w:sz w:val="24"/>
                <w:szCs w:val="24"/>
              </w:rPr>
            </w:pPr>
            <w:r>
              <w:rPr>
                <w:rFonts w:asciiTheme="majorBidi" w:hAnsiTheme="majorBidi" w:cstheme="majorBidi"/>
                <w:sz w:val="24"/>
                <w:szCs w:val="24"/>
              </w:rPr>
              <w:t>*p-value significant at the 0.05 level</w:t>
            </w: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result compares sVCAM-1 readings in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non-</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individuals. Table 4 indicates that individuals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have a mean sVCAM-1 score of 4.0±2.7, whereas those without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have 2.1 ± 1.88. The p-value of 0.001 indicates that there are statistically significant differences in sVCAM-1 values between the two groups and between patient study groups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non-</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control group. </w:t>
      </w:r>
    </w:p>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 Comparison of sVCAM-1 between </w:t>
      </w:r>
      <w:proofErr w:type="spellStart"/>
      <w:r>
        <w:rPr>
          <w:rFonts w:asciiTheme="majorBidi" w:hAnsiTheme="majorBidi" w:cstheme="majorBidi"/>
          <w:b/>
          <w:bCs/>
          <w:sz w:val="24"/>
          <w:szCs w:val="24"/>
        </w:rPr>
        <w:t>Arthropathy</w:t>
      </w:r>
      <w:proofErr w:type="spellEnd"/>
      <w:r>
        <w:rPr>
          <w:rFonts w:asciiTheme="majorBidi" w:hAnsiTheme="majorBidi" w:cstheme="majorBidi"/>
          <w:b/>
          <w:bCs/>
          <w:sz w:val="24"/>
          <w:szCs w:val="24"/>
        </w:rPr>
        <w:t xml:space="preserve"> groups.</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1620"/>
        <w:gridCol w:w="1691"/>
        <w:gridCol w:w="1419"/>
        <w:gridCol w:w="1504"/>
        <w:gridCol w:w="1674"/>
        <w:gridCol w:w="1402"/>
      </w:tblGrid>
      <w:tr w:rsidR="006A601F" w:rsidTr="006A601F">
        <w:trPr>
          <w:trHeight w:val="680"/>
        </w:trPr>
        <w:tc>
          <w:tcPr>
            <w:tcW w:w="1778" w:type="pct"/>
            <w:gridSpan w:val="2"/>
            <w:vMerge w:val="restart"/>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Parameters</w:t>
            </w:r>
          </w:p>
        </w:tc>
        <w:tc>
          <w:tcPr>
            <w:tcW w:w="1570" w:type="pct"/>
            <w:gridSpan w:val="2"/>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proofErr w:type="spellStart"/>
            <w:r>
              <w:rPr>
                <w:rFonts w:asciiTheme="majorBidi" w:hAnsiTheme="majorBidi" w:cstheme="majorBidi"/>
                <w:sz w:val="24"/>
                <w:szCs w:val="24"/>
              </w:rPr>
              <w:t>Arthropathy</w:t>
            </w:r>
            <w:proofErr w:type="spellEnd"/>
          </w:p>
        </w:tc>
        <w:tc>
          <w:tcPr>
            <w:tcW w:w="899" w:type="pct"/>
            <w:vMerge w:val="restar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Control</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(n=16)</w:t>
            </w:r>
          </w:p>
        </w:tc>
        <w:tc>
          <w:tcPr>
            <w:tcW w:w="754" w:type="pct"/>
            <w:vMerge w:val="restart"/>
            <w:tcBorders>
              <w:top w:val="trip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w:t>
            </w:r>
          </w:p>
        </w:tc>
      </w:tr>
      <w:tr w:rsidR="006A601F" w:rsidTr="006A601F">
        <w:trPr>
          <w:trHeight w:val="680"/>
        </w:trPr>
        <w:tc>
          <w:tcPr>
            <w:tcW w:w="0" w:type="auto"/>
            <w:gridSpan w:val="2"/>
            <w:vMerge/>
            <w:tcBorders>
              <w:top w:val="trip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762"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Yes</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(n=40)</w:t>
            </w:r>
          </w:p>
        </w:tc>
        <w:tc>
          <w:tcPr>
            <w:tcW w:w="8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No</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(n=40)</w:t>
            </w:r>
          </w:p>
        </w:tc>
        <w:tc>
          <w:tcPr>
            <w:tcW w:w="0" w:type="auto"/>
            <w:vMerge/>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0" w:type="auto"/>
            <w:vMerge/>
            <w:tcBorders>
              <w:top w:val="triple" w:sz="4" w:space="0" w:color="auto"/>
              <w:left w:val="single" w:sz="4" w:space="0" w:color="auto"/>
              <w:bottom w:val="single" w:sz="4" w:space="0" w:color="auto"/>
              <w:right w:val="triple" w:sz="4" w:space="0" w:color="auto"/>
            </w:tcBorders>
            <w:vAlign w:val="center"/>
            <w:hideMark/>
          </w:tcPr>
          <w:p w:rsidR="006A601F" w:rsidRDefault="006A601F">
            <w:pPr>
              <w:spacing w:line="240" w:lineRule="auto"/>
              <w:rPr>
                <w:rFonts w:asciiTheme="majorBidi" w:hAnsiTheme="majorBidi" w:cstheme="majorBidi"/>
                <w:sz w:val="24"/>
                <w:szCs w:val="24"/>
              </w:rPr>
            </w:pPr>
          </w:p>
        </w:tc>
      </w:tr>
      <w:tr w:rsidR="006A601F" w:rsidTr="006A601F">
        <w:trPr>
          <w:trHeight w:val="680"/>
        </w:trPr>
        <w:tc>
          <w:tcPr>
            <w:tcW w:w="870" w:type="pc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sVCAM-1</w:t>
            </w:r>
          </w:p>
        </w:tc>
        <w:tc>
          <w:tcPr>
            <w:tcW w:w="9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proofErr w:type="spellStart"/>
            <w:r>
              <w:rPr>
                <w:rFonts w:asciiTheme="majorBidi" w:hAnsiTheme="majorBidi" w:cstheme="majorBidi"/>
                <w:sz w:val="24"/>
                <w:szCs w:val="24"/>
              </w:rPr>
              <w:t>Mean±SD</w:t>
            </w:r>
            <w:proofErr w:type="spellEnd"/>
          </w:p>
        </w:tc>
        <w:tc>
          <w:tcPr>
            <w:tcW w:w="762"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4.0±2.7</w:t>
            </w:r>
          </w:p>
        </w:tc>
        <w:tc>
          <w:tcPr>
            <w:tcW w:w="808"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2.1±1.88</w:t>
            </w:r>
          </w:p>
        </w:tc>
        <w:tc>
          <w:tcPr>
            <w:tcW w:w="89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0.69±0.24</w:t>
            </w:r>
          </w:p>
        </w:tc>
        <w:tc>
          <w:tcPr>
            <w:tcW w:w="754" w:type="pct"/>
            <w:tcBorders>
              <w:top w:val="single" w:sz="4" w:space="0" w:color="auto"/>
              <w:left w:val="single" w:sz="4" w:space="0" w:color="auto"/>
              <w:bottom w:val="single" w:sz="4" w:space="0" w:color="auto"/>
              <w:right w:val="triple" w:sz="4" w:space="0" w:color="auto"/>
            </w:tcBorders>
            <w:vAlign w:val="center"/>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*0.001</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**0.001</w:t>
            </w:r>
          </w:p>
          <w:p w:rsidR="006A601F" w:rsidRDefault="006A601F">
            <w:pPr>
              <w:spacing w:line="276" w:lineRule="auto"/>
              <w:jc w:val="center"/>
              <w:rPr>
                <w:rFonts w:asciiTheme="majorBidi" w:hAnsiTheme="majorBidi" w:cstheme="majorBidi"/>
                <w:sz w:val="24"/>
                <w:szCs w:val="24"/>
              </w:rPr>
            </w:pPr>
          </w:p>
        </w:tc>
      </w:tr>
      <w:tr w:rsidR="006A601F" w:rsidTr="006A601F">
        <w:trPr>
          <w:trHeight w:val="1313"/>
        </w:trPr>
        <w:tc>
          <w:tcPr>
            <w:tcW w:w="5000" w:type="pct"/>
            <w:gridSpan w:val="6"/>
            <w:tcBorders>
              <w:top w:val="single" w:sz="4" w:space="0" w:color="auto"/>
              <w:left w:val="triple" w:sz="4" w:space="0" w:color="auto"/>
              <w:bottom w:val="triple" w:sz="4" w:space="0" w:color="auto"/>
              <w:right w:val="triple" w:sz="4" w:space="0" w:color="auto"/>
            </w:tcBorders>
            <w:shd w:val="clear" w:color="auto" w:fill="F2F2F2" w:themeFill="background1" w:themeFillShade="F2"/>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 significant at the 0.05 level</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*Comparison between patients have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don’t have</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 Comparison between Patients have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don’t have and Control group.</w:t>
            </w:r>
          </w:p>
          <w:p w:rsidR="006A601F" w:rsidRDefault="006A601F">
            <w:pPr>
              <w:spacing w:line="276" w:lineRule="auto"/>
              <w:jc w:val="center"/>
              <w:rPr>
                <w:rFonts w:asciiTheme="majorBidi" w:hAnsiTheme="majorBidi" w:cstheme="majorBidi"/>
                <w:sz w:val="24"/>
                <w:szCs w:val="24"/>
              </w:rPr>
            </w:pP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SVCAM1 levels are correlated with WBC, </w:t>
      </w:r>
      <w:proofErr w:type="spellStart"/>
      <w:r>
        <w:rPr>
          <w:rFonts w:asciiTheme="majorBidi" w:hAnsiTheme="majorBidi" w:cstheme="majorBidi"/>
          <w:sz w:val="24"/>
          <w:szCs w:val="24"/>
        </w:rPr>
        <w:t>Hb</w:t>
      </w:r>
      <w:proofErr w:type="spellEnd"/>
      <w:r>
        <w:rPr>
          <w:rFonts w:asciiTheme="majorBidi" w:hAnsiTheme="majorBidi" w:cstheme="majorBidi"/>
          <w:sz w:val="24"/>
          <w:szCs w:val="24"/>
        </w:rPr>
        <w:t xml:space="preserve">, Platelets, and ESR in Table 5. WBC, </w:t>
      </w:r>
      <w:proofErr w:type="spellStart"/>
      <w:r>
        <w:rPr>
          <w:rFonts w:asciiTheme="majorBidi" w:hAnsiTheme="majorBidi" w:cstheme="majorBidi"/>
          <w:sz w:val="24"/>
          <w:szCs w:val="24"/>
        </w:rPr>
        <w:t>Hb</w:t>
      </w:r>
      <w:proofErr w:type="spellEnd"/>
      <w:r>
        <w:rPr>
          <w:rFonts w:asciiTheme="majorBidi" w:hAnsiTheme="majorBidi" w:cstheme="majorBidi"/>
          <w:sz w:val="24"/>
          <w:szCs w:val="24"/>
        </w:rPr>
        <w:t>, and Platelets do not correlate with sVCAM1 levels. The correlation coefficients (r) and p values for the aforementioned parameters are 0.138, 0.22, 0.069, 0.543, -0.048, and 0.674. While ESR and sVCAM1 levels are positively correlated (r=0.283, p=0.01). HJHS score and sVCAM-1 are positively correlated (r= 0.9, p=0.001).</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Table (5): Correlation between Hematological parameters, HJHS score and sVCAM-1 level.</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1358"/>
        <w:gridCol w:w="2450"/>
        <w:gridCol w:w="901"/>
        <w:gridCol w:w="892"/>
        <w:gridCol w:w="1216"/>
        <w:gridCol w:w="892"/>
        <w:gridCol w:w="1601"/>
      </w:tblGrid>
      <w:tr w:rsidR="006A601F" w:rsidTr="006A601F">
        <w:trPr>
          <w:trHeight w:val="624"/>
        </w:trPr>
        <w:tc>
          <w:tcPr>
            <w:tcW w:w="2045" w:type="pct"/>
            <w:gridSpan w:val="2"/>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line="276" w:lineRule="auto"/>
              <w:jc w:val="center"/>
              <w:rPr>
                <w:rFonts w:asciiTheme="majorBidi" w:hAnsiTheme="majorBidi" w:cstheme="majorBidi"/>
                <w:sz w:val="24"/>
                <w:szCs w:val="24"/>
              </w:rPr>
            </w:pPr>
          </w:p>
        </w:tc>
        <w:tc>
          <w:tcPr>
            <w:tcW w:w="484" w:type="pc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WBC</w:t>
            </w:r>
          </w:p>
        </w:tc>
        <w:tc>
          <w:tcPr>
            <w:tcW w:w="479" w:type="pc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proofErr w:type="spellStart"/>
            <w:r>
              <w:rPr>
                <w:rFonts w:asciiTheme="majorBidi" w:hAnsiTheme="majorBidi" w:cstheme="majorBidi"/>
                <w:sz w:val="24"/>
                <w:szCs w:val="24"/>
              </w:rPr>
              <w:t>Hb</w:t>
            </w:r>
            <w:proofErr w:type="spellEnd"/>
          </w:p>
        </w:tc>
        <w:tc>
          <w:tcPr>
            <w:tcW w:w="653" w:type="pc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Platelets</w:t>
            </w:r>
          </w:p>
        </w:tc>
        <w:tc>
          <w:tcPr>
            <w:tcW w:w="479" w:type="pc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ESR</w:t>
            </w:r>
          </w:p>
        </w:tc>
        <w:tc>
          <w:tcPr>
            <w:tcW w:w="860" w:type="pct"/>
            <w:tcBorders>
              <w:top w:val="triple" w:sz="4" w:space="0" w:color="auto"/>
              <w:left w:val="single" w:sz="4" w:space="0" w:color="auto"/>
              <w:bottom w:val="single" w:sz="4" w:space="0" w:color="auto"/>
              <w:right w:val="triple" w:sz="4" w:space="0" w:color="auto"/>
            </w:tcBorders>
            <w:shd w:val="clear" w:color="auto" w:fill="F2F2F2" w:themeFill="background1" w:themeFillShade="F2"/>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HJHS score</w:t>
            </w:r>
          </w:p>
        </w:tc>
      </w:tr>
      <w:tr w:rsidR="006A601F" w:rsidTr="006A601F">
        <w:trPr>
          <w:trHeight w:val="867"/>
        </w:trPr>
        <w:tc>
          <w:tcPr>
            <w:tcW w:w="729"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sVCAM-1</w:t>
            </w:r>
          </w:p>
        </w:tc>
        <w:tc>
          <w:tcPr>
            <w:tcW w:w="1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Pearson correlation</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R</w:t>
            </w:r>
          </w:p>
        </w:tc>
        <w:tc>
          <w:tcPr>
            <w:tcW w:w="48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0.138</w:t>
            </w:r>
          </w:p>
        </w:tc>
        <w:tc>
          <w:tcPr>
            <w:tcW w:w="47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0.069</w:t>
            </w:r>
          </w:p>
        </w:tc>
        <w:tc>
          <w:tcPr>
            <w:tcW w:w="65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-0.048</w:t>
            </w:r>
          </w:p>
        </w:tc>
        <w:tc>
          <w:tcPr>
            <w:tcW w:w="47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0.283</w:t>
            </w:r>
          </w:p>
        </w:tc>
        <w:tc>
          <w:tcPr>
            <w:tcW w:w="860"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0.9</w:t>
            </w:r>
          </w:p>
        </w:tc>
      </w:tr>
      <w:tr w:rsidR="006A601F" w:rsidTr="006A601F">
        <w:trPr>
          <w:trHeight w:val="624"/>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1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w:t>
            </w:r>
          </w:p>
        </w:tc>
        <w:tc>
          <w:tcPr>
            <w:tcW w:w="484"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0.22</w:t>
            </w:r>
          </w:p>
        </w:tc>
        <w:tc>
          <w:tcPr>
            <w:tcW w:w="47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0.543</w:t>
            </w:r>
          </w:p>
        </w:tc>
        <w:tc>
          <w:tcPr>
            <w:tcW w:w="653"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0.674</w:t>
            </w:r>
          </w:p>
        </w:tc>
        <w:tc>
          <w:tcPr>
            <w:tcW w:w="479"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0.01*</w:t>
            </w:r>
          </w:p>
        </w:tc>
        <w:tc>
          <w:tcPr>
            <w:tcW w:w="860" w:type="pct"/>
            <w:tcBorders>
              <w:top w:val="single" w:sz="4" w:space="0" w:color="auto"/>
              <w:left w:val="single" w:sz="4" w:space="0" w:color="auto"/>
              <w:bottom w:val="single" w:sz="4" w:space="0" w:color="auto"/>
              <w:right w:val="triple" w:sz="4" w:space="0" w:color="auto"/>
            </w:tcBorders>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0.001*</w:t>
            </w:r>
          </w:p>
        </w:tc>
      </w:tr>
      <w:tr w:rsidR="006A601F" w:rsidTr="006A601F">
        <w:trPr>
          <w:trHeight w:val="624"/>
        </w:trPr>
        <w:tc>
          <w:tcPr>
            <w:tcW w:w="4140" w:type="pct"/>
            <w:gridSpan w:val="6"/>
            <w:tcBorders>
              <w:top w:val="single" w:sz="4" w:space="0" w:color="auto"/>
              <w:left w:val="triple" w:sz="4" w:space="0" w:color="auto"/>
              <w:bottom w:val="trip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 significant at the 0.05 level</w:t>
            </w:r>
          </w:p>
        </w:tc>
        <w:tc>
          <w:tcPr>
            <w:tcW w:w="860" w:type="pct"/>
            <w:tcBorders>
              <w:top w:val="single" w:sz="4" w:space="0" w:color="auto"/>
              <w:left w:val="single" w:sz="4" w:space="0" w:color="auto"/>
              <w:bottom w:val="triple" w:sz="4" w:space="0" w:color="auto"/>
              <w:right w:val="triple" w:sz="4" w:space="0" w:color="auto"/>
            </w:tcBorders>
            <w:shd w:val="clear" w:color="auto" w:fill="F2F2F2" w:themeFill="background1" w:themeFillShade="F2"/>
          </w:tcPr>
          <w:p w:rsidR="006A601F" w:rsidRDefault="006A601F">
            <w:pPr>
              <w:spacing w:line="276" w:lineRule="auto"/>
              <w:jc w:val="center"/>
              <w:rPr>
                <w:rFonts w:asciiTheme="majorBidi" w:hAnsiTheme="majorBidi" w:cstheme="majorBidi"/>
                <w:sz w:val="24"/>
                <w:szCs w:val="24"/>
              </w:rPr>
            </w:pP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VCAM-1 levels and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groups are correlated in Table (6). The Pearson association coefficient for VCAM-1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is 0.239, p-value 0.01. Significant positive connection between the two variables. VCAM-1 and </w:t>
      </w:r>
      <w:proofErr w:type="spellStart"/>
      <w:r>
        <w:rPr>
          <w:rFonts w:asciiTheme="majorBidi" w:hAnsiTheme="majorBidi" w:cstheme="majorBidi"/>
          <w:sz w:val="24"/>
          <w:szCs w:val="24"/>
        </w:rPr>
        <w:t>haemophilia</w:t>
      </w:r>
      <w:proofErr w:type="spellEnd"/>
      <w:r>
        <w:rPr>
          <w:rFonts w:asciiTheme="majorBidi" w:hAnsiTheme="majorBidi" w:cstheme="majorBidi"/>
          <w:sz w:val="24"/>
          <w:szCs w:val="24"/>
        </w:rPr>
        <w:t xml:space="preserve"> groups had a 0.111 Pearson correlation coefficient and 0.328 p-value. No correlation exists between the variables.</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(6): Correlation among </w:t>
      </w:r>
      <w:proofErr w:type="spellStart"/>
      <w:r>
        <w:rPr>
          <w:rFonts w:asciiTheme="majorBidi" w:hAnsiTheme="majorBidi" w:cstheme="majorBidi"/>
          <w:b/>
          <w:bCs/>
          <w:sz w:val="24"/>
          <w:szCs w:val="24"/>
        </w:rPr>
        <w:t>Arthropathy</w:t>
      </w:r>
      <w:proofErr w:type="spellEnd"/>
      <w:r>
        <w:rPr>
          <w:rFonts w:asciiTheme="majorBidi" w:hAnsiTheme="majorBidi" w:cstheme="majorBidi"/>
          <w:b/>
          <w:bCs/>
          <w:sz w:val="24"/>
          <w:szCs w:val="24"/>
        </w:rPr>
        <w:t>, Hemophilia groups (HA&amp;HB) and VCAM-1 level.</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1590"/>
        <w:gridCol w:w="2944"/>
        <w:gridCol w:w="1922"/>
        <w:gridCol w:w="2854"/>
      </w:tblGrid>
      <w:tr w:rsidR="006A601F" w:rsidTr="006A601F">
        <w:trPr>
          <w:trHeight w:val="854"/>
        </w:trPr>
        <w:tc>
          <w:tcPr>
            <w:tcW w:w="2435" w:type="pct"/>
            <w:gridSpan w:val="2"/>
            <w:tcBorders>
              <w:top w:val="triple" w:sz="4" w:space="0" w:color="auto"/>
              <w:left w:val="triple" w:sz="4" w:space="0" w:color="auto"/>
              <w:bottom w:val="single" w:sz="4" w:space="0" w:color="auto"/>
              <w:right w:val="single" w:sz="4" w:space="0" w:color="auto"/>
            </w:tcBorders>
            <w:shd w:val="clear" w:color="auto" w:fill="F2F2F2" w:themeFill="background1" w:themeFillShade="F2"/>
            <w:vAlign w:val="center"/>
          </w:tcPr>
          <w:p w:rsidR="006A601F" w:rsidRDefault="006A601F">
            <w:pPr>
              <w:spacing w:line="276" w:lineRule="auto"/>
              <w:jc w:val="center"/>
              <w:rPr>
                <w:rFonts w:asciiTheme="majorBidi" w:hAnsiTheme="majorBidi" w:cstheme="majorBidi"/>
                <w:sz w:val="24"/>
                <w:szCs w:val="24"/>
              </w:rPr>
            </w:pPr>
          </w:p>
        </w:tc>
        <w:tc>
          <w:tcPr>
            <w:tcW w:w="1032" w:type="pct"/>
            <w:tcBorders>
              <w:top w:val="trip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proofErr w:type="spellStart"/>
            <w:r>
              <w:rPr>
                <w:rFonts w:asciiTheme="majorBidi" w:hAnsiTheme="majorBidi" w:cstheme="majorBidi"/>
                <w:sz w:val="24"/>
                <w:szCs w:val="24"/>
              </w:rPr>
              <w:t>Arthropathy</w:t>
            </w:r>
            <w:proofErr w:type="spellEnd"/>
          </w:p>
        </w:tc>
        <w:tc>
          <w:tcPr>
            <w:tcW w:w="1532" w:type="pct"/>
            <w:tcBorders>
              <w:top w:val="triple" w:sz="4" w:space="0" w:color="auto"/>
              <w:left w:val="single" w:sz="4" w:space="0" w:color="auto"/>
              <w:bottom w:val="single" w:sz="4" w:space="0" w:color="auto"/>
              <w:right w:val="trip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Hemophilia groups</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(HA&amp;HB)</w:t>
            </w:r>
          </w:p>
        </w:tc>
      </w:tr>
      <w:tr w:rsidR="006A601F" w:rsidTr="006A601F">
        <w:trPr>
          <w:trHeight w:val="567"/>
        </w:trPr>
        <w:tc>
          <w:tcPr>
            <w:tcW w:w="854" w:type="pct"/>
            <w:vMerge w:val="restart"/>
            <w:tcBorders>
              <w:top w:val="single" w:sz="4" w:space="0" w:color="auto"/>
              <w:left w:val="trip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sVCAM-1</w:t>
            </w:r>
          </w:p>
        </w:tc>
        <w:tc>
          <w:tcPr>
            <w:tcW w:w="1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Pearson Correlation</w:t>
            </w:r>
          </w:p>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R</w:t>
            </w:r>
          </w:p>
        </w:tc>
        <w:tc>
          <w:tcPr>
            <w:tcW w:w="1032"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0.239</w:t>
            </w:r>
          </w:p>
        </w:tc>
        <w:tc>
          <w:tcPr>
            <w:tcW w:w="1532"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0.111</w:t>
            </w:r>
          </w:p>
        </w:tc>
      </w:tr>
      <w:tr w:rsidR="006A601F" w:rsidTr="006A601F">
        <w:trPr>
          <w:trHeight w:val="567"/>
        </w:trPr>
        <w:tc>
          <w:tcPr>
            <w:tcW w:w="0" w:type="auto"/>
            <w:vMerge/>
            <w:tcBorders>
              <w:top w:val="sing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sz w:val="24"/>
                <w:szCs w:val="24"/>
              </w:rPr>
            </w:pPr>
          </w:p>
        </w:tc>
        <w:tc>
          <w:tcPr>
            <w:tcW w:w="1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w:t>
            </w:r>
          </w:p>
        </w:tc>
        <w:tc>
          <w:tcPr>
            <w:tcW w:w="1032"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0.01*</w:t>
            </w:r>
          </w:p>
        </w:tc>
        <w:tc>
          <w:tcPr>
            <w:tcW w:w="1532"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0.328</w:t>
            </w:r>
          </w:p>
        </w:tc>
      </w:tr>
      <w:tr w:rsidR="006A601F" w:rsidTr="006A601F">
        <w:trPr>
          <w:trHeight w:val="567"/>
        </w:trPr>
        <w:tc>
          <w:tcPr>
            <w:tcW w:w="5000" w:type="pct"/>
            <w:gridSpan w:val="4"/>
            <w:tcBorders>
              <w:top w:val="single" w:sz="4" w:space="0" w:color="auto"/>
              <w:left w:val="triple" w:sz="4" w:space="0" w:color="auto"/>
              <w:bottom w:val="triple" w:sz="4" w:space="0" w:color="auto"/>
              <w:right w:val="triple" w:sz="4" w:space="0" w:color="auto"/>
            </w:tcBorders>
            <w:shd w:val="clear" w:color="auto" w:fill="F2F2F2" w:themeFill="background1" w:themeFillShade="F2"/>
            <w:vAlign w:val="center"/>
            <w:hideMark/>
          </w:tcPr>
          <w:p w:rsidR="006A601F" w:rsidRDefault="006A601F">
            <w:pPr>
              <w:spacing w:line="276" w:lineRule="auto"/>
              <w:jc w:val="center"/>
              <w:rPr>
                <w:rFonts w:asciiTheme="majorBidi" w:hAnsiTheme="majorBidi" w:cstheme="majorBidi"/>
                <w:sz w:val="24"/>
                <w:szCs w:val="24"/>
              </w:rPr>
            </w:pPr>
            <w:r>
              <w:rPr>
                <w:rFonts w:asciiTheme="majorBidi" w:hAnsiTheme="majorBidi" w:cstheme="majorBidi"/>
                <w:sz w:val="24"/>
                <w:szCs w:val="24"/>
              </w:rPr>
              <w:t>*p-value significant at the 0.05 level</w:t>
            </w: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highlight w:val="yellow"/>
        </w:rPr>
        <w:t>sVCAM-1</w:t>
      </w:r>
      <w:r>
        <w:rPr>
          <w:rFonts w:asciiTheme="majorBidi" w:hAnsiTheme="majorBidi" w:cstheme="majorBidi"/>
          <w:sz w:val="24"/>
          <w:szCs w:val="24"/>
          <w:highlight w:val="yellow"/>
        </w:rPr>
        <w:t xml:space="preserve"> levels, </w:t>
      </w:r>
      <w:proofErr w:type="gramStart"/>
      <w:r>
        <w:rPr>
          <w:rFonts w:asciiTheme="majorBidi" w:hAnsiTheme="majorBidi" w:cstheme="majorBidi"/>
          <w:sz w:val="24"/>
          <w:szCs w:val="24"/>
          <w:highlight w:val="yellow"/>
        </w:rPr>
        <w:t xml:space="preserve">hemophilic  </w:t>
      </w:r>
      <w:proofErr w:type="spellStart"/>
      <w:r>
        <w:rPr>
          <w:rFonts w:asciiTheme="majorBidi" w:hAnsiTheme="majorBidi" w:cstheme="majorBidi"/>
          <w:sz w:val="24"/>
          <w:szCs w:val="24"/>
          <w:highlight w:val="yellow"/>
        </w:rPr>
        <w:t>arthropathy</w:t>
      </w:r>
      <w:proofErr w:type="spellEnd"/>
      <w:proofErr w:type="gramEnd"/>
      <w:r>
        <w:rPr>
          <w:rFonts w:asciiTheme="majorBidi" w:hAnsiTheme="majorBidi" w:cstheme="majorBidi"/>
          <w:sz w:val="24"/>
          <w:szCs w:val="24"/>
          <w:highlight w:val="yellow"/>
        </w:rPr>
        <w:t xml:space="preserve"> , HCV status, and hemophilia groups (HA&amp;HB) were analyzed for  correlations in Table (7). Spearman's Correlation analysis revealed a significant positive correlation between sVCAM-1 levels and the presence of hemophilic </w:t>
      </w:r>
      <w:proofErr w:type="spellStart"/>
      <w:r>
        <w:rPr>
          <w:rFonts w:asciiTheme="majorBidi" w:hAnsiTheme="majorBidi" w:cstheme="majorBidi"/>
          <w:sz w:val="24"/>
          <w:szCs w:val="24"/>
          <w:highlight w:val="yellow"/>
        </w:rPr>
        <w:t>arthropathy</w:t>
      </w:r>
      <w:proofErr w:type="spellEnd"/>
      <w:r>
        <w:rPr>
          <w:rFonts w:asciiTheme="majorBidi" w:hAnsiTheme="majorBidi" w:cstheme="majorBidi"/>
          <w:sz w:val="24"/>
          <w:szCs w:val="24"/>
          <w:highlight w:val="yellow"/>
        </w:rPr>
        <w:t xml:space="preserve"> (r = </w:t>
      </w:r>
      <w:r>
        <w:rPr>
          <w:rFonts w:asciiTheme="majorBidi" w:hAnsiTheme="majorBidi" w:cstheme="majorBidi"/>
          <w:sz w:val="24"/>
          <w:szCs w:val="24"/>
          <w:highlight w:val="yellow"/>
        </w:rPr>
        <w:lastRenderedPageBreak/>
        <w:t>0.301, p = 0.007). In contrast, no significant correlations were found between sVCAM-1 levels and hemophilia groups (A/B) (r = 0.111, p = 0.328) or HCV status (r = 0.137, p = 0.257).</w:t>
      </w:r>
    </w:p>
    <w:p w:rsidR="006A601F" w:rsidRDefault="006A601F" w:rsidP="006A601F">
      <w:pPr>
        <w:bidi/>
        <w:jc w:val="right"/>
        <w:rPr>
          <w:b/>
          <w:bCs/>
          <w:highlight w:val="yellow"/>
        </w:rPr>
      </w:pPr>
      <w:r>
        <w:rPr>
          <w:rFonts w:asciiTheme="majorBidi" w:hAnsiTheme="majorBidi" w:cstheme="majorBidi"/>
          <w:sz w:val="24"/>
          <w:szCs w:val="24"/>
          <w:highlight w:val="yellow"/>
        </w:rPr>
        <w:t>Ta</w:t>
      </w:r>
      <w:r>
        <w:rPr>
          <w:rFonts w:asciiTheme="majorBidi" w:hAnsiTheme="majorBidi" w:cstheme="majorBidi"/>
          <w:b/>
          <w:bCs/>
          <w:sz w:val="24"/>
          <w:szCs w:val="24"/>
          <w:highlight w:val="yellow"/>
        </w:rPr>
        <w:t>ble (7): Correlation between sVCAM-1 levels and clinical parameters in hemophilia patients.</w:t>
      </w:r>
    </w:p>
    <w:tbl>
      <w:tblPr>
        <w:tblStyle w:val="1"/>
        <w:tblW w:w="8910" w:type="dxa"/>
        <w:tblInd w:w="0" w:type="dxa"/>
        <w:tblLayout w:type="fixed"/>
        <w:tblLook w:val="04A0" w:firstRow="1" w:lastRow="0" w:firstColumn="1" w:lastColumn="0" w:noHBand="0" w:noVBand="1"/>
      </w:tblPr>
      <w:tblGrid>
        <w:gridCol w:w="1636"/>
        <w:gridCol w:w="1240"/>
        <w:gridCol w:w="1261"/>
        <w:gridCol w:w="1908"/>
        <w:gridCol w:w="1026"/>
        <w:gridCol w:w="1839"/>
      </w:tblGrid>
      <w:tr w:rsidR="006A601F" w:rsidTr="006A6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A601F" w:rsidRDefault="006A601F">
            <w:pPr>
              <w:jc w:val="center"/>
              <w:rPr>
                <w:b w:val="0"/>
                <w:bCs w:val="0"/>
                <w:highlight w:val="yellow"/>
              </w:rPr>
            </w:pPr>
          </w:p>
        </w:tc>
        <w:tc>
          <w:tcPr>
            <w:tcW w:w="1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rPr>
            </w:pPr>
            <w:r>
              <w:rPr>
                <w:rFonts w:asciiTheme="majorBidi" w:hAnsiTheme="majorBidi" w:cstheme="majorBidi"/>
                <w:sz w:val="24"/>
                <w:szCs w:val="24"/>
                <w:highlight w:val="yellow"/>
              </w:rPr>
              <w:t>Hemophilia groups</w:t>
            </w:r>
          </w:p>
          <w:p w:rsidR="006A601F" w:rsidRDefault="006A601F">
            <w:pPr>
              <w:jc w:val="center"/>
              <w:cnfStyle w:val="100000000000" w:firstRow="1" w:lastRow="0" w:firstColumn="0" w:lastColumn="0" w:oddVBand="0" w:evenVBand="0" w:oddHBand="0" w:evenHBand="0" w:firstRowFirstColumn="0" w:firstRowLastColumn="0" w:lastRowFirstColumn="0" w:lastRowLastColumn="0"/>
              <w:rPr>
                <w:highlight w:val="yellow"/>
              </w:rPr>
            </w:pPr>
            <w:r>
              <w:rPr>
                <w:rFonts w:asciiTheme="majorBidi" w:hAnsiTheme="majorBidi" w:cstheme="majorBidi"/>
                <w:sz w:val="24"/>
                <w:szCs w:val="24"/>
                <w:highlight w:val="yellow"/>
              </w:rPr>
              <w:t>(HA&amp;HB)</w:t>
            </w:r>
          </w:p>
        </w:tc>
        <w:tc>
          <w:tcPr>
            <w:tcW w:w="1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HCV</w:t>
            </w: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ghlight w:val="yellow"/>
              </w:rPr>
            </w:pPr>
            <w:proofErr w:type="spellStart"/>
            <w:r>
              <w:rPr>
                <w:rFonts w:asciiTheme="majorBidi" w:hAnsiTheme="majorBidi" w:cstheme="majorBidi"/>
                <w:highlight w:val="yellow"/>
              </w:rPr>
              <w:t>Arthropathy</w:t>
            </w:r>
            <w:proofErr w:type="spellEnd"/>
          </w:p>
        </w:tc>
      </w:tr>
      <w:tr w:rsidR="006A601F" w:rsidTr="006A6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rPr>
                <w:rFonts w:asciiTheme="majorBidi" w:hAnsiTheme="majorBidi" w:cstheme="majorBidi"/>
                <w:highlight w:val="yellow"/>
              </w:rPr>
            </w:pPr>
            <w:r>
              <w:rPr>
                <w:rFonts w:asciiTheme="majorBidi" w:hAnsiTheme="majorBidi" w:cstheme="majorBidi"/>
                <w:highlight w:val="yellow"/>
              </w:rPr>
              <w:t>Spearman's rho</w:t>
            </w:r>
          </w:p>
        </w:tc>
        <w:tc>
          <w:tcPr>
            <w:tcW w:w="123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Theme="majorBidi" w:hAnsiTheme="majorBidi" w:cstheme="majorBidi"/>
                <w:highlight w:val="yellow"/>
              </w:rPr>
              <w:t>sVCAM-1</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Correlation</w:t>
            </w:r>
          </w:p>
        </w:tc>
        <w:tc>
          <w:tcPr>
            <w:tcW w:w="1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Theme="majorBidi" w:hAnsiTheme="majorBidi" w:cstheme="majorBidi"/>
                <w:highlight w:val="yellow"/>
              </w:rPr>
              <w:t>0.111</w:t>
            </w:r>
          </w:p>
        </w:tc>
        <w:tc>
          <w:tcPr>
            <w:tcW w:w="1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0.137</w:t>
            </w: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0.301</w:t>
            </w:r>
            <w:r>
              <w:rPr>
                <w:rFonts w:asciiTheme="majorBidi" w:hAnsiTheme="majorBidi" w:cstheme="majorBidi"/>
                <w:highlight w:val="yellow"/>
                <w:vertAlign w:val="superscript"/>
              </w:rPr>
              <w:t>**</w:t>
            </w:r>
          </w:p>
        </w:tc>
      </w:tr>
      <w:tr w:rsidR="006A601F" w:rsidTr="006A601F">
        <w:tc>
          <w:tcPr>
            <w:cnfStyle w:val="001000000000" w:firstRow="0" w:lastRow="0" w:firstColumn="1" w:lastColumn="0" w:oddVBand="0" w:evenVBand="0" w:oddHBand="0" w:evenHBand="0" w:firstRowFirstColumn="0" w:firstRowLastColumn="0" w:lastRowFirstColumn="0" w:lastRowLastColumn="0"/>
            <w:tcW w:w="890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spacing w:line="240" w:lineRule="auto"/>
              <w:rPr>
                <w:rFonts w:asciiTheme="majorBidi" w:hAnsiTheme="majorBidi" w:cstheme="majorBidi"/>
                <w:highlight w:val="yellow"/>
              </w:rPr>
            </w:pPr>
          </w:p>
        </w:tc>
        <w:tc>
          <w:tcPr>
            <w:tcW w:w="123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spacing w:line="240" w:lineRule="auto"/>
              <w:cnfStyle w:val="000000000000" w:firstRow="0" w:lastRow="0" w:firstColumn="0" w:lastColumn="0" w:oddVBand="0" w:evenVBand="0" w:oddHBand="0" w:evenHBand="0" w:firstRowFirstColumn="0" w:firstRowLastColumn="0" w:lastRowFirstColumn="0" w:lastRowLastColumn="0"/>
              <w:rPr>
                <w:highlight w:val="yellow"/>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P-value</w:t>
            </w:r>
          </w:p>
        </w:tc>
        <w:tc>
          <w:tcPr>
            <w:tcW w:w="1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Theme="majorBidi" w:hAnsiTheme="majorBidi" w:cstheme="majorBidi"/>
                <w:highlight w:val="yellow"/>
              </w:rPr>
              <w:t>0.328</w:t>
            </w:r>
          </w:p>
        </w:tc>
        <w:tc>
          <w:tcPr>
            <w:tcW w:w="1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0.257</w:t>
            </w: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ghlight w:val="yellow"/>
              </w:rPr>
            </w:pPr>
            <w:r>
              <w:rPr>
                <w:rFonts w:asciiTheme="majorBidi" w:hAnsiTheme="majorBidi" w:cstheme="majorBidi"/>
                <w:highlight w:val="yellow"/>
              </w:rPr>
              <w:t>0.007</w:t>
            </w:r>
          </w:p>
        </w:tc>
      </w:tr>
      <w:tr w:rsidR="006A601F" w:rsidTr="006A6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A601F" w:rsidRDefault="006A601F">
            <w:pPr>
              <w:jc w:val="center"/>
              <w:rPr>
                <w:rFonts w:asciiTheme="majorBidi" w:hAnsiTheme="majorBidi" w:cstheme="majorBidi"/>
              </w:rPr>
            </w:pPr>
            <w:r>
              <w:rPr>
                <w:rFonts w:asciiTheme="majorBidi" w:hAnsiTheme="majorBidi" w:cstheme="majorBidi"/>
                <w:highlight w:val="yellow"/>
              </w:rPr>
              <w:t>**. Correlation is significant at the 0.01 level (2-tailed).</w:t>
            </w:r>
          </w:p>
        </w:tc>
      </w:tr>
    </w:tbl>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In Hemophilia patients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the test result for the variable sVCAM-1, yielded AUC in hemophilia patients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is 1.0 with a p-value of &lt;0.001 indicating a statistically significant and strong discrimination. The cutoff point was 0.88 with sensitivity 95% and specificity 96% table (8). </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(8): Area under the Curve (AUC) for sVCAM-1 </w:t>
      </w:r>
    </w:p>
    <w:tbl>
      <w:tblPr>
        <w:tblStyle w:val="a4"/>
        <w:tblW w:w="5000" w:type="pct"/>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1886"/>
        <w:gridCol w:w="981"/>
        <w:gridCol w:w="1270"/>
        <w:gridCol w:w="2609"/>
        <w:gridCol w:w="2564"/>
      </w:tblGrid>
      <w:tr w:rsidR="006A601F" w:rsidTr="006A601F">
        <w:trPr>
          <w:trHeight w:val="397"/>
        </w:trPr>
        <w:tc>
          <w:tcPr>
            <w:tcW w:w="1013" w:type="pct"/>
            <w:vMerge w:val="restart"/>
            <w:tcBorders>
              <w:top w:val="triple" w:sz="4" w:space="0" w:color="auto"/>
              <w:left w:val="trip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Groups</w:t>
            </w:r>
          </w:p>
        </w:tc>
        <w:tc>
          <w:tcPr>
            <w:tcW w:w="527" w:type="pct"/>
            <w:vMerge w:val="restart"/>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AUC</w:t>
            </w:r>
          </w:p>
        </w:tc>
        <w:tc>
          <w:tcPr>
            <w:tcW w:w="682" w:type="pct"/>
            <w:vMerge w:val="restart"/>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p-value</w:t>
            </w:r>
          </w:p>
        </w:tc>
        <w:tc>
          <w:tcPr>
            <w:tcW w:w="2777" w:type="pct"/>
            <w:gridSpan w:val="2"/>
            <w:tcBorders>
              <w:top w:val="trip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Asymptotic 95% Confidence Interval</w:t>
            </w:r>
          </w:p>
        </w:tc>
      </w:tr>
      <w:tr w:rsidR="006A601F" w:rsidTr="006A601F">
        <w:trPr>
          <w:trHeight w:val="397"/>
        </w:trPr>
        <w:tc>
          <w:tcPr>
            <w:tcW w:w="0" w:type="auto"/>
            <w:vMerge/>
            <w:tcBorders>
              <w:top w:val="triple" w:sz="4" w:space="0" w:color="auto"/>
              <w:left w:val="trip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b/>
                <w:bCs/>
                <w:sz w:val="24"/>
                <w:szCs w:val="24"/>
              </w:rPr>
            </w:pPr>
          </w:p>
        </w:tc>
        <w:tc>
          <w:tcPr>
            <w:tcW w:w="0" w:type="auto"/>
            <w:vMerge/>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b/>
                <w:bCs/>
                <w:sz w:val="24"/>
                <w:szCs w:val="24"/>
              </w:rPr>
            </w:pPr>
          </w:p>
        </w:tc>
        <w:tc>
          <w:tcPr>
            <w:tcW w:w="0" w:type="auto"/>
            <w:vMerge/>
            <w:tcBorders>
              <w:top w:val="triple" w:sz="4" w:space="0" w:color="auto"/>
              <w:left w:val="single" w:sz="4" w:space="0" w:color="auto"/>
              <w:bottom w:val="single" w:sz="4" w:space="0" w:color="auto"/>
              <w:right w:val="single" w:sz="4" w:space="0" w:color="auto"/>
            </w:tcBorders>
            <w:vAlign w:val="center"/>
            <w:hideMark/>
          </w:tcPr>
          <w:p w:rsidR="006A601F" w:rsidRDefault="006A601F">
            <w:pPr>
              <w:spacing w:line="240" w:lineRule="auto"/>
              <w:rPr>
                <w:rFonts w:asciiTheme="majorBidi" w:hAnsiTheme="majorBidi" w:cstheme="majorBidi"/>
                <w:b/>
                <w:bCs/>
                <w:sz w:val="24"/>
                <w:szCs w:val="24"/>
              </w:rPr>
            </w:pPr>
          </w:p>
        </w:tc>
        <w:tc>
          <w:tcPr>
            <w:tcW w:w="1401"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Lower Bound</w:t>
            </w:r>
          </w:p>
        </w:tc>
        <w:tc>
          <w:tcPr>
            <w:tcW w:w="1376"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Upper Bound</w:t>
            </w:r>
          </w:p>
        </w:tc>
      </w:tr>
      <w:tr w:rsidR="006A601F" w:rsidTr="006A601F">
        <w:trPr>
          <w:trHeight w:val="397"/>
        </w:trPr>
        <w:tc>
          <w:tcPr>
            <w:tcW w:w="1013" w:type="pct"/>
            <w:tcBorders>
              <w:top w:val="single" w:sz="4" w:space="0" w:color="auto"/>
              <w:left w:val="trip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Arthropathy</w:t>
            </w:r>
            <w:proofErr w:type="spellEnd"/>
          </w:p>
        </w:tc>
        <w:tc>
          <w:tcPr>
            <w:tcW w:w="527"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1.0</w:t>
            </w:r>
          </w:p>
        </w:tc>
        <w:tc>
          <w:tcPr>
            <w:tcW w:w="682"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0.001*</w:t>
            </w:r>
          </w:p>
        </w:tc>
        <w:tc>
          <w:tcPr>
            <w:tcW w:w="1401" w:type="pct"/>
            <w:tcBorders>
              <w:top w:val="single" w:sz="4" w:space="0" w:color="auto"/>
              <w:left w:val="single" w:sz="4" w:space="0" w:color="auto"/>
              <w:bottom w:val="single" w:sz="4" w:space="0" w:color="auto"/>
              <w:right w:val="sing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1.0</w:t>
            </w:r>
          </w:p>
        </w:tc>
        <w:tc>
          <w:tcPr>
            <w:tcW w:w="1376" w:type="pct"/>
            <w:tcBorders>
              <w:top w:val="single" w:sz="4" w:space="0" w:color="auto"/>
              <w:left w:val="single" w:sz="4" w:space="0" w:color="auto"/>
              <w:bottom w:val="sing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1.0</w:t>
            </w:r>
          </w:p>
        </w:tc>
      </w:tr>
      <w:tr w:rsidR="006A601F" w:rsidTr="006A601F">
        <w:trPr>
          <w:trHeight w:val="397"/>
        </w:trPr>
        <w:tc>
          <w:tcPr>
            <w:tcW w:w="5000" w:type="pct"/>
            <w:gridSpan w:val="5"/>
            <w:tcBorders>
              <w:top w:val="single" w:sz="4" w:space="0" w:color="auto"/>
              <w:left w:val="triple" w:sz="4" w:space="0" w:color="auto"/>
              <w:bottom w:val="triple" w:sz="4" w:space="0" w:color="auto"/>
              <w:right w:val="triple" w:sz="4" w:space="0" w:color="auto"/>
            </w:tcBorders>
            <w:vAlign w:val="center"/>
            <w:hideMark/>
          </w:tcPr>
          <w:p w:rsidR="006A601F" w:rsidRDefault="006A601F">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*p-value significant at the 0.05 level</w:t>
            </w:r>
          </w:p>
        </w:tc>
      </w:tr>
    </w:tbl>
    <w:tbl>
      <w:tblPr>
        <w:tblW w:w="4964" w:type="pct"/>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2431"/>
        <w:gridCol w:w="2442"/>
        <w:gridCol w:w="2174"/>
        <w:gridCol w:w="2196"/>
      </w:tblGrid>
      <w:tr w:rsidR="006A601F" w:rsidTr="006A601F">
        <w:trPr>
          <w:trHeight w:val="411"/>
          <w:jc w:val="center"/>
        </w:trPr>
        <w:tc>
          <w:tcPr>
            <w:tcW w:w="1315" w:type="pct"/>
            <w:tcBorders>
              <w:top w:val="triple" w:sz="4" w:space="0" w:color="auto"/>
              <w:left w:val="triple" w:sz="4" w:space="0" w:color="auto"/>
              <w:bottom w:val="sing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Parameter</w:t>
            </w:r>
          </w:p>
        </w:tc>
        <w:tc>
          <w:tcPr>
            <w:tcW w:w="1321" w:type="pct"/>
            <w:tcBorders>
              <w:top w:val="triple" w:sz="4" w:space="0" w:color="auto"/>
              <w:left w:val="single" w:sz="4" w:space="0" w:color="auto"/>
              <w:bottom w:val="sing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Cutoff point</w:t>
            </w:r>
          </w:p>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sVCAM-1</w:t>
            </w:r>
          </w:p>
        </w:tc>
        <w:tc>
          <w:tcPr>
            <w:tcW w:w="1176" w:type="pct"/>
            <w:tcBorders>
              <w:top w:val="triple" w:sz="4" w:space="0" w:color="auto"/>
              <w:left w:val="single" w:sz="4" w:space="0" w:color="auto"/>
              <w:bottom w:val="sing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Sensitivity</w:t>
            </w:r>
          </w:p>
        </w:tc>
        <w:tc>
          <w:tcPr>
            <w:tcW w:w="1188" w:type="pct"/>
            <w:tcBorders>
              <w:top w:val="triple" w:sz="4" w:space="0" w:color="auto"/>
              <w:left w:val="single" w:sz="4" w:space="0" w:color="auto"/>
              <w:bottom w:val="single" w:sz="4" w:space="0" w:color="auto"/>
              <w:right w:val="trip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Specificity</w:t>
            </w:r>
          </w:p>
        </w:tc>
      </w:tr>
      <w:tr w:rsidR="006A601F" w:rsidTr="006A601F">
        <w:trPr>
          <w:trHeight w:val="411"/>
          <w:jc w:val="center"/>
        </w:trPr>
        <w:tc>
          <w:tcPr>
            <w:tcW w:w="1315" w:type="pct"/>
            <w:tcBorders>
              <w:top w:val="single" w:sz="4" w:space="0" w:color="auto"/>
              <w:left w:val="triple" w:sz="4" w:space="0" w:color="auto"/>
              <w:bottom w:val="trip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proofErr w:type="spellStart"/>
            <w:r>
              <w:rPr>
                <w:rFonts w:asciiTheme="majorBidi" w:hAnsiTheme="majorBidi" w:cstheme="majorBidi"/>
                <w:sz w:val="24"/>
                <w:szCs w:val="24"/>
              </w:rPr>
              <w:t>Arthropathy</w:t>
            </w:r>
            <w:proofErr w:type="spellEnd"/>
          </w:p>
        </w:tc>
        <w:tc>
          <w:tcPr>
            <w:tcW w:w="1321" w:type="pct"/>
            <w:tcBorders>
              <w:top w:val="single" w:sz="4" w:space="0" w:color="auto"/>
              <w:left w:val="single" w:sz="4" w:space="0" w:color="auto"/>
              <w:bottom w:val="trip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0.88</w:t>
            </w:r>
          </w:p>
        </w:tc>
        <w:tc>
          <w:tcPr>
            <w:tcW w:w="1176" w:type="pct"/>
            <w:tcBorders>
              <w:top w:val="single" w:sz="4" w:space="0" w:color="auto"/>
              <w:left w:val="single" w:sz="4" w:space="0" w:color="auto"/>
              <w:bottom w:val="triple" w:sz="4" w:space="0" w:color="auto"/>
              <w:right w:val="sing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95</w:t>
            </w:r>
          </w:p>
        </w:tc>
        <w:tc>
          <w:tcPr>
            <w:tcW w:w="1188" w:type="pct"/>
            <w:tcBorders>
              <w:top w:val="single" w:sz="4" w:space="0" w:color="auto"/>
              <w:left w:val="single" w:sz="4" w:space="0" w:color="auto"/>
              <w:bottom w:val="triple" w:sz="4" w:space="0" w:color="auto"/>
              <w:right w:val="triple" w:sz="4" w:space="0" w:color="auto"/>
            </w:tcBorders>
            <w:vAlign w:val="center"/>
            <w:hideMark/>
          </w:tcPr>
          <w:p w:rsidR="006A601F" w:rsidRDefault="006A601F">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96</w:t>
            </w:r>
          </w:p>
        </w:tc>
      </w:tr>
    </w:tbl>
    <w:p w:rsidR="006A601F" w:rsidRDefault="006A601F" w:rsidP="006A601F">
      <w:pPr>
        <w:spacing w:after="0" w:line="360" w:lineRule="auto"/>
        <w:jc w:val="center"/>
        <w:rPr>
          <w:rFonts w:asciiTheme="majorBidi" w:hAnsiTheme="majorBidi" w:cstheme="majorBidi"/>
          <w:b/>
          <w:bCs/>
          <w:sz w:val="24"/>
          <w:szCs w:val="24"/>
        </w:rPr>
      </w:pPr>
    </w:p>
    <w:p w:rsidR="006A601F" w:rsidRDefault="006A601F" w:rsidP="006A601F">
      <w:pPr>
        <w:pStyle w:val="a5"/>
      </w:pPr>
      <w:r>
        <w:rPr>
          <w:noProof/>
        </w:rPr>
        <w:lastRenderedPageBreak/>
        <w:drawing>
          <wp:inline distT="0" distB="0" distL="0" distR="0">
            <wp:extent cx="6409055" cy="3466465"/>
            <wp:effectExtent l="0" t="0" r="0" b="635"/>
            <wp:docPr id="1" name="صورة 1" descr="outpu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output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9055" cy="3466465"/>
                    </a:xfrm>
                    <a:prstGeom prst="rect">
                      <a:avLst/>
                    </a:prstGeom>
                    <a:noFill/>
                    <a:ln>
                      <a:noFill/>
                    </a:ln>
                  </pic:spPr>
                </pic:pic>
              </a:graphicData>
            </a:graphic>
          </wp:inline>
        </w:drawing>
      </w:r>
    </w:p>
    <w:p w:rsidR="006A601F" w:rsidRDefault="006A601F" w:rsidP="006A601F">
      <w:pPr>
        <w:pStyle w:val="a5"/>
        <w:rPr>
          <w:rFonts w:hint="cs"/>
          <w:b/>
          <w:bCs/>
          <w:rtl/>
        </w:rPr>
      </w:pPr>
      <w:r>
        <w:rPr>
          <w:b/>
          <w:bCs/>
        </w:rPr>
        <w:t xml:space="preserve">Fig 1: ROC curve for sVCAM-1 in hemophilic </w:t>
      </w:r>
      <w:proofErr w:type="spellStart"/>
      <w:r>
        <w:rPr>
          <w:b/>
          <w:bCs/>
        </w:rPr>
        <w:t>arthropathy</w:t>
      </w:r>
      <w:proofErr w:type="spellEnd"/>
      <w:r>
        <w:rPr>
          <w:b/>
          <w:bCs/>
        </w:rPr>
        <w:t xml:space="preserve">. </w:t>
      </w:r>
    </w:p>
    <w:p w:rsidR="006A601F" w:rsidRDefault="006A601F" w:rsidP="006A601F">
      <w:pPr>
        <w:rPr>
          <w:rFonts w:asciiTheme="majorBidi" w:hAnsiTheme="majorBidi" w:cstheme="majorBidi"/>
          <w:b/>
          <w:bCs/>
          <w:sz w:val="24"/>
          <w:szCs w:val="24"/>
        </w:rPr>
      </w:pPr>
      <w:r>
        <w:rPr>
          <w:rFonts w:asciiTheme="majorBidi" w:hAnsiTheme="majorBidi" w:cstheme="majorBidi"/>
          <w:b/>
          <w:bCs/>
          <w:sz w:val="24"/>
          <w:szCs w:val="24"/>
        </w:rPr>
        <w:t>Discussion:</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study explored the relationship between soluble vascular cell adhesion molecule-1 (sVCAM-1) and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in 80 male hemophilia patients—consistent with the X-linked inheritance pattern of the disease. While female cases are rare, they are documented in situations involving skewed X-inactivation or Turner syndrome </w:t>
      </w:r>
      <w:r>
        <w:rPr>
          <w:rFonts w:asciiTheme="majorBidi" w:hAnsiTheme="majorBidi" w:cstheme="majorBidi"/>
          <w:sz w:val="24"/>
          <w:szCs w:val="24"/>
          <w:vertAlign w:val="superscript"/>
        </w:rPr>
        <w:t>[16]</w:t>
      </w:r>
      <w:r>
        <w:rPr>
          <w:rFonts w:asciiTheme="majorBidi" w:hAnsiTheme="majorBidi" w:cstheme="majorBidi"/>
          <w:sz w:val="24"/>
          <w:szCs w:val="24"/>
        </w:rPr>
        <w:t xml:space="preserve">. The mean patient age was approximately 27.1 years for hemophilia A and 29.4 years for hemophilia B, reflecting the late manifestation of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a long-term complication of the disease. However, the average age at diagnosis was 3.38 and 3.6 years for hemophilia A and B respectively, comparable to findings by Islam MN et al. </w:t>
      </w:r>
      <w:r>
        <w:rPr>
          <w:rFonts w:asciiTheme="majorBidi" w:hAnsiTheme="majorBidi" w:cstheme="majorBidi"/>
          <w:sz w:val="24"/>
          <w:szCs w:val="24"/>
          <w:vertAlign w:val="superscript"/>
        </w:rPr>
        <w:t>[17]</w:t>
      </w:r>
      <w:r>
        <w:rPr>
          <w:rFonts w:asciiTheme="majorBidi" w:hAnsiTheme="majorBidi" w:cstheme="majorBidi"/>
          <w:sz w:val="24"/>
          <w:szCs w:val="24"/>
        </w:rPr>
        <w:t xml:space="preserve"> and slightly older than those in the study by </w:t>
      </w:r>
      <w:proofErr w:type="spellStart"/>
      <w:r>
        <w:rPr>
          <w:rFonts w:asciiTheme="majorBidi" w:hAnsiTheme="majorBidi" w:cstheme="majorBidi"/>
          <w:sz w:val="24"/>
          <w:szCs w:val="24"/>
        </w:rPr>
        <w:t>Sajid</w:t>
      </w:r>
      <w:proofErr w:type="spellEnd"/>
      <w:r>
        <w:rPr>
          <w:rFonts w:asciiTheme="majorBidi" w:hAnsiTheme="majorBidi" w:cstheme="majorBidi"/>
          <w:sz w:val="24"/>
          <w:szCs w:val="24"/>
        </w:rPr>
        <w:t xml:space="preserve"> et al. </w:t>
      </w:r>
      <w:r>
        <w:rPr>
          <w:rFonts w:asciiTheme="majorBidi" w:hAnsiTheme="majorBidi" w:cstheme="majorBidi"/>
          <w:sz w:val="24"/>
          <w:szCs w:val="24"/>
          <w:vertAlign w:val="superscript"/>
        </w:rPr>
        <w:t>[18]</w:t>
      </w:r>
      <w:r>
        <w:rPr>
          <w:rFonts w:asciiTheme="majorBidi" w:hAnsiTheme="majorBidi" w:cstheme="majorBidi"/>
          <w:sz w:val="24"/>
          <w:szCs w:val="24"/>
        </w:rPr>
        <w:t xml:space="preserve">. Age of diagnosis varies based on disease severity, diagnostic capacity, and healthcare access </w:t>
      </w:r>
      <w:r>
        <w:rPr>
          <w:rFonts w:asciiTheme="majorBidi" w:hAnsiTheme="majorBidi" w:cstheme="majorBidi"/>
          <w:sz w:val="24"/>
          <w:szCs w:val="24"/>
          <w:vertAlign w:val="superscript"/>
        </w:rPr>
        <w:t>[17]</w:t>
      </w:r>
      <w:r>
        <w:rPr>
          <w:rFonts w:asciiTheme="majorBidi" w:hAnsiTheme="majorBidi" w:cstheme="majorBidi"/>
          <w:sz w:val="24"/>
          <w:szCs w:val="24"/>
        </w:rPr>
        <w:t xml:space="preserve">. All patients had a positive family history, in line with a previous report showing 96.7% of cases with a familial link </w:t>
      </w:r>
      <w:r>
        <w:rPr>
          <w:rFonts w:asciiTheme="majorBidi" w:hAnsiTheme="majorBidi" w:cstheme="majorBidi"/>
          <w:sz w:val="24"/>
          <w:szCs w:val="24"/>
          <w:vertAlign w:val="superscript"/>
        </w:rPr>
        <w:t>[15]</w:t>
      </w:r>
      <w:r>
        <w:rPr>
          <w:rFonts w:asciiTheme="majorBidi" w:hAnsiTheme="majorBidi" w:cstheme="majorBidi"/>
          <w:sz w:val="24"/>
          <w:szCs w:val="24"/>
        </w:rPr>
        <w:t xml:space="preserve">, though other studies report lower rates </w:t>
      </w:r>
      <w:r>
        <w:rPr>
          <w:rFonts w:asciiTheme="majorBidi" w:hAnsiTheme="majorBidi" w:cstheme="majorBidi"/>
          <w:sz w:val="24"/>
          <w:szCs w:val="24"/>
          <w:vertAlign w:val="superscript"/>
        </w:rPr>
        <w:t>[20]</w:t>
      </w:r>
      <w:r>
        <w:rPr>
          <w:rFonts w:asciiTheme="majorBidi" w:hAnsiTheme="majorBidi" w:cstheme="majorBidi"/>
          <w:sz w:val="24"/>
          <w:szCs w:val="24"/>
        </w:rPr>
        <w:t xml:space="preserve">. The high familial prevalence may be influenced by the high rate of consanguinity in Iraq (33%) and poor access to genetic counseling and prenatal diagnosis </w:t>
      </w:r>
      <w:r>
        <w:rPr>
          <w:rFonts w:asciiTheme="majorBidi" w:hAnsiTheme="majorBidi" w:cstheme="majorBidi"/>
          <w:sz w:val="24"/>
          <w:szCs w:val="24"/>
          <w:vertAlign w:val="superscript"/>
        </w:rPr>
        <w:t>[21]</w:t>
      </w:r>
      <w:r>
        <w:rPr>
          <w:rFonts w:asciiTheme="majorBidi" w:hAnsiTheme="majorBidi" w:cstheme="majorBidi"/>
          <w:sz w:val="24"/>
          <w:szCs w:val="24"/>
        </w:rPr>
        <w:t xml:space="preserve">. Despite this, spontaneous mutations still account for approximately one-third of cases, affecting family history statistics </w:t>
      </w:r>
      <w:r>
        <w:rPr>
          <w:rFonts w:asciiTheme="majorBidi" w:hAnsiTheme="majorBidi" w:cstheme="majorBidi"/>
          <w:sz w:val="24"/>
          <w:szCs w:val="24"/>
          <w:vertAlign w:val="superscript"/>
        </w:rPr>
        <w:t>[22]</w:t>
      </w:r>
      <w:r>
        <w:rPr>
          <w:rFonts w:asciiTheme="majorBidi" w:hAnsiTheme="majorBidi" w:cstheme="majorBidi"/>
          <w:sz w:val="24"/>
          <w:szCs w:val="24"/>
        </w:rPr>
        <w:t xml:space="preserve">. Severe hemophilia A was predominant (90%), consistent with </w:t>
      </w:r>
      <w:proofErr w:type="spellStart"/>
      <w:r>
        <w:rPr>
          <w:rFonts w:asciiTheme="majorBidi" w:hAnsiTheme="majorBidi" w:cstheme="majorBidi"/>
          <w:sz w:val="24"/>
          <w:szCs w:val="24"/>
        </w:rPr>
        <w:t>Peral</w:t>
      </w:r>
      <w:proofErr w:type="spellEnd"/>
      <w:r>
        <w:rPr>
          <w:rFonts w:asciiTheme="majorBidi" w:hAnsiTheme="majorBidi" w:cstheme="majorBidi"/>
          <w:sz w:val="24"/>
          <w:szCs w:val="24"/>
        </w:rPr>
        <w:t xml:space="preserve"> C’s findings </w:t>
      </w:r>
      <w:r>
        <w:rPr>
          <w:rFonts w:asciiTheme="majorBidi" w:hAnsiTheme="majorBidi" w:cstheme="majorBidi"/>
          <w:sz w:val="24"/>
          <w:szCs w:val="24"/>
          <w:vertAlign w:val="superscript"/>
        </w:rPr>
        <w:t>[23]</w:t>
      </w:r>
      <w:r>
        <w:rPr>
          <w:rFonts w:asciiTheme="majorBidi" w:hAnsiTheme="majorBidi" w:cstheme="majorBidi"/>
          <w:sz w:val="24"/>
          <w:szCs w:val="24"/>
        </w:rPr>
        <w:t xml:space="preserve">, though differing from </w:t>
      </w:r>
      <w:proofErr w:type="spellStart"/>
      <w:r>
        <w:rPr>
          <w:rFonts w:asciiTheme="majorBidi" w:hAnsiTheme="majorBidi" w:cstheme="majorBidi"/>
          <w:sz w:val="24"/>
          <w:szCs w:val="24"/>
        </w:rPr>
        <w:t>Imad’s</w:t>
      </w:r>
      <w:proofErr w:type="spellEnd"/>
      <w:r>
        <w:rPr>
          <w:rFonts w:asciiTheme="majorBidi" w:hAnsiTheme="majorBidi" w:cstheme="majorBidi"/>
          <w:sz w:val="24"/>
          <w:szCs w:val="24"/>
        </w:rPr>
        <w:t xml:space="preserve"> study </w:t>
      </w:r>
      <w:r>
        <w:rPr>
          <w:rFonts w:asciiTheme="majorBidi" w:hAnsiTheme="majorBidi" w:cstheme="majorBidi"/>
          <w:sz w:val="24"/>
          <w:szCs w:val="24"/>
          <w:vertAlign w:val="superscript"/>
        </w:rPr>
        <w:t>[20]</w:t>
      </w:r>
      <w:r>
        <w:rPr>
          <w:rFonts w:asciiTheme="majorBidi" w:hAnsiTheme="majorBidi" w:cstheme="majorBidi"/>
          <w:sz w:val="24"/>
          <w:szCs w:val="24"/>
        </w:rPr>
        <w:t xml:space="preserve">, which reported a </w:t>
      </w:r>
      <w:r>
        <w:rPr>
          <w:rFonts w:asciiTheme="majorBidi" w:hAnsiTheme="majorBidi" w:cstheme="majorBidi"/>
          <w:sz w:val="24"/>
          <w:szCs w:val="24"/>
        </w:rPr>
        <w:lastRenderedPageBreak/>
        <w:t xml:space="preserve">lower frequency of severe cases. The variation may be attributed to the underlying mutation type; as severe cases often arise from null mutations resulting in minimal to no clotting factor activity </w:t>
      </w:r>
      <w:r>
        <w:rPr>
          <w:rFonts w:asciiTheme="majorBidi" w:hAnsiTheme="majorBidi" w:cstheme="majorBidi"/>
          <w:sz w:val="24"/>
          <w:szCs w:val="24"/>
          <w:vertAlign w:val="superscript"/>
        </w:rPr>
        <w:t>[9]</w:t>
      </w:r>
      <w:r>
        <w:rPr>
          <w:rFonts w:asciiTheme="majorBidi" w:hAnsiTheme="majorBidi" w:cstheme="majorBidi"/>
          <w:sz w:val="24"/>
          <w:szCs w:val="24"/>
        </w:rPr>
        <w:t xml:space="preserve">. Regarding joint health, over half of the patients had HJHS scores above 10, indicating substantial joint damage, corroborating findings by St-Louis </w:t>
      </w:r>
      <w:r>
        <w:rPr>
          <w:rFonts w:asciiTheme="majorBidi" w:hAnsiTheme="majorBidi" w:cstheme="majorBidi"/>
          <w:sz w:val="24"/>
          <w:szCs w:val="24"/>
          <w:vertAlign w:val="superscript"/>
        </w:rPr>
        <w:t>[24]</w:t>
      </w:r>
      <w:r>
        <w:rPr>
          <w:rFonts w:asciiTheme="majorBidi" w:hAnsiTheme="majorBidi" w:cstheme="majorBidi"/>
          <w:sz w:val="24"/>
          <w:szCs w:val="24"/>
        </w:rPr>
        <w:t xml:space="preserve">. The ankle was the most commonly affected joint, followed by the knee and elbow, as also noted by </w:t>
      </w:r>
      <w:proofErr w:type="spellStart"/>
      <w:r>
        <w:rPr>
          <w:rFonts w:asciiTheme="majorBidi" w:hAnsiTheme="majorBidi" w:cstheme="majorBidi"/>
          <w:sz w:val="24"/>
          <w:szCs w:val="24"/>
        </w:rPr>
        <w:t>Hmida</w:t>
      </w:r>
      <w:proofErr w:type="spellEnd"/>
      <w:r>
        <w:rPr>
          <w:rFonts w:asciiTheme="majorBidi" w:hAnsiTheme="majorBidi" w:cstheme="majorBidi"/>
          <w:sz w:val="24"/>
          <w:szCs w:val="24"/>
        </w:rPr>
        <w:t xml:space="preserve"> J </w:t>
      </w:r>
      <w:r>
        <w:rPr>
          <w:rFonts w:asciiTheme="majorBidi" w:hAnsiTheme="majorBidi" w:cstheme="majorBidi"/>
          <w:sz w:val="24"/>
          <w:szCs w:val="24"/>
          <w:vertAlign w:val="superscript"/>
        </w:rPr>
        <w:t>[25]</w:t>
      </w:r>
      <w:r>
        <w:rPr>
          <w:rFonts w:asciiTheme="majorBidi" w:hAnsiTheme="majorBidi" w:cstheme="majorBidi"/>
          <w:sz w:val="24"/>
          <w:szCs w:val="24"/>
        </w:rPr>
        <w:t xml:space="preserve">. The ankle’s role in weight-bearing and mobility makes it particularly vulnerable to damage </w:t>
      </w:r>
      <w:r>
        <w:rPr>
          <w:rFonts w:asciiTheme="majorBidi" w:hAnsiTheme="majorBidi" w:cstheme="majorBidi"/>
          <w:sz w:val="24"/>
          <w:szCs w:val="24"/>
          <w:vertAlign w:val="superscript"/>
        </w:rPr>
        <w:t>[26]</w:t>
      </w:r>
      <w:r>
        <w:rPr>
          <w:rFonts w:asciiTheme="majorBidi" w:hAnsiTheme="majorBidi" w:cstheme="majorBidi"/>
          <w:sz w:val="24"/>
          <w:szCs w:val="24"/>
        </w:rPr>
        <w:t xml:space="preserve">. Treatment-wise, 83% of hemophilia A patients received recombinant Factor VIII, while 17% were on </w:t>
      </w:r>
      <w:proofErr w:type="spellStart"/>
      <w:r>
        <w:rPr>
          <w:rFonts w:asciiTheme="majorBidi" w:hAnsiTheme="majorBidi" w:cstheme="majorBidi"/>
          <w:sz w:val="24"/>
          <w:szCs w:val="24"/>
        </w:rPr>
        <w:t>Hemlibra</w:t>
      </w:r>
      <w:proofErr w:type="spellEnd"/>
      <w:r>
        <w:rPr>
          <w:rFonts w:asciiTheme="majorBidi" w:hAnsiTheme="majorBidi" w:cstheme="majorBidi"/>
          <w:sz w:val="24"/>
          <w:szCs w:val="24"/>
        </w:rPr>
        <w:t xml:space="preserve">, comparable to the 16% usage reported in an Iraqi study </w:t>
      </w:r>
      <w:r>
        <w:rPr>
          <w:rFonts w:asciiTheme="majorBidi" w:hAnsiTheme="majorBidi" w:cstheme="majorBidi"/>
          <w:sz w:val="24"/>
          <w:szCs w:val="24"/>
          <w:vertAlign w:val="superscript"/>
        </w:rPr>
        <w:t>[27]</w:t>
      </w:r>
      <w:r>
        <w:rPr>
          <w:rFonts w:asciiTheme="majorBidi" w:hAnsiTheme="majorBidi" w:cstheme="majorBidi"/>
          <w:sz w:val="24"/>
          <w:szCs w:val="24"/>
        </w:rPr>
        <w:t xml:space="preserve">. However, European data reflect greater access, with up to 88% of patients on </w:t>
      </w:r>
      <w:proofErr w:type="spellStart"/>
      <w:r>
        <w:rPr>
          <w:rFonts w:asciiTheme="majorBidi" w:hAnsiTheme="majorBidi" w:cstheme="majorBidi"/>
          <w:sz w:val="24"/>
          <w:szCs w:val="24"/>
        </w:rPr>
        <w:t>emicizumab</w:t>
      </w:r>
      <w:proofErr w:type="spellEnd"/>
      <w:r>
        <w:rPr>
          <w:rFonts w:asciiTheme="majorBidi" w:hAnsiTheme="majorBidi" w:cstheme="majorBidi"/>
          <w:sz w:val="24"/>
          <w:szCs w:val="24"/>
        </w:rPr>
        <w:t xml:space="preserve"> </w:t>
      </w:r>
      <w:r>
        <w:rPr>
          <w:rFonts w:asciiTheme="majorBidi" w:hAnsiTheme="majorBidi" w:cstheme="majorBidi"/>
          <w:sz w:val="24"/>
          <w:szCs w:val="24"/>
          <w:vertAlign w:val="superscript"/>
        </w:rPr>
        <w:t>[28]</w:t>
      </w:r>
      <w:r>
        <w:rPr>
          <w:rFonts w:asciiTheme="majorBidi" w:hAnsiTheme="majorBidi" w:cstheme="majorBidi"/>
          <w:sz w:val="24"/>
          <w:szCs w:val="24"/>
        </w:rPr>
        <w:t xml:space="preserve">. Hepatitis C prevalence in our cohort was 22.86%, consistent with rates reported by Anastasia </w:t>
      </w:r>
      <w:r>
        <w:rPr>
          <w:rFonts w:asciiTheme="majorBidi" w:hAnsiTheme="majorBidi" w:cstheme="majorBidi"/>
          <w:sz w:val="24"/>
          <w:szCs w:val="24"/>
          <w:vertAlign w:val="superscript"/>
        </w:rPr>
        <w:t>[29]</w:t>
      </w:r>
      <w:r>
        <w:rPr>
          <w:rFonts w:asciiTheme="majorBidi" w:hAnsiTheme="majorBidi" w:cstheme="majorBidi"/>
          <w:sz w:val="24"/>
          <w:szCs w:val="24"/>
        </w:rPr>
        <w:t xml:space="preserve"> and </w:t>
      </w:r>
      <w:proofErr w:type="spellStart"/>
      <w:r>
        <w:rPr>
          <w:rFonts w:asciiTheme="majorBidi" w:hAnsiTheme="majorBidi" w:cstheme="majorBidi"/>
          <w:sz w:val="24"/>
          <w:szCs w:val="24"/>
        </w:rPr>
        <w:t>Dragani</w:t>
      </w:r>
      <w:proofErr w:type="spellEnd"/>
      <w:r>
        <w:rPr>
          <w:rFonts w:asciiTheme="majorBidi" w:hAnsiTheme="majorBidi" w:cstheme="majorBidi"/>
          <w:sz w:val="24"/>
          <w:szCs w:val="24"/>
        </w:rPr>
        <w:t xml:space="preserve"> </w:t>
      </w:r>
      <w:r>
        <w:rPr>
          <w:rFonts w:asciiTheme="majorBidi" w:hAnsiTheme="majorBidi" w:cstheme="majorBidi"/>
          <w:sz w:val="24"/>
          <w:szCs w:val="24"/>
          <w:vertAlign w:val="superscript"/>
        </w:rPr>
        <w:t>[30]</w:t>
      </w:r>
      <w:r>
        <w:rPr>
          <w:rFonts w:asciiTheme="majorBidi" w:hAnsiTheme="majorBidi" w:cstheme="majorBidi"/>
          <w:sz w:val="24"/>
          <w:szCs w:val="24"/>
        </w:rPr>
        <w:t xml:space="preserve">. Despite improved blood screening, HCV remains a concern in developing regions with suboptimal healthcare infrastructure. Patients exhibited reduced hemoglobin levels, likely due to recurrent bleeding, particularly in younger, more active individuals, aligning with </w:t>
      </w:r>
      <w:proofErr w:type="spellStart"/>
      <w:r>
        <w:rPr>
          <w:rFonts w:asciiTheme="majorBidi" w:hAnsiTheme="majorBidi" w:cstheme="majorBidi"/>
          <w:sz w:val="24"/>
          <w:szCs w:val="24"/>
        </w:rPr>
        <w:t>Shahad</w:t>
      </w:r>
      <w:proofErr w:type="spellEnd"/>
      <w:r>
        <w:rPr>
          <w:rFonts w:asciiTheme="majorBidi" w:hAnsiTheme="majorBidi" w:cstheme="majorBidi"/>
          <w:sz w:val="24"/>
          <w:szCs w:val="24"/>
        </w:rPr>
        <w:t xml:space="preserve"> Q’s findings </w:t>
      </w:r>
      <w:r>
        <w:rPr>
          <w:rFonts w:asciiTheme="majorBidi" w:hAnsiTheme="majorBidi" w:cstheme="majorBidi"/>
          <w:sz w:val="24"/>
          <w:szCs w:val="24"/>
          <w:vertAlign w:val="superscript"/>
        </w:rPr>
        <w:t>[31]</w:t>
      </w:r>
      <w:r>
        <w:rPr>
          <w:rFonts w:asciiTheme="majorBidi" w:hAnsiTheme="majorBidi" w:cstheme="majorBidi"/>
          <w:sz w:val="24"/>
          <w:szCs w:val="24"/>
        </w:rPr>
        <w:t xml:space="preserve">. Elevated WBC counts may reflect inflammatory responses or infection risk due to joint bleeding </w:t>
      </w:r>
      <w:r>
        <w:rPr>
          <w:rFonts w:asciiTheme="majorBidi" w:hAnsiTheme="majorBidi" w:cstheme="majorBidi"/>
          <w:sz w:val="24"/>
          <w:szCs w:val="24"/>
          <w:vertAlign w:val="superscript"/>
        </w:rPr>
        <w:t>[32]</w:t>
      </w:r>
      <w:r>
        <w:rPr>
          <w:rFonts w:asciiTheme="majorBidi" w:hAnsiTheme="majorBidi" w:cstheme="majorBidi"/>
          <w:sz w:val="24"/>
          <w:szCs w:val="24"/>
        </w:rPr>
        <w:t xml:space="preserve">. Similarly, ESR levels were significantly elevated, consistent with results from Aggarwal </w:t>
      </w:r>
      <w:r>
        <w:rPr>
          <w:rFonts w:asciiTheme="majorBidi" w:hAnsiTheme="majorBidi" w:cstheme="majorBidi"/>
          <w:sz w:val="24"/>
          <w:szCs w:val="24"/>
          <w:vertAlign w:val="superscript"/>
        </w:rPr>
        <w:t>[33]</w:t>
      </w:r>
      <w:r>
        <w:rPr>
          <w:rFonts w:asciiTheme="majorBidi" w:hAnsiTheme="majorBidi" w:cstheme="majorBidi"/>
          <w:sz w:val="24"/>
          <w:szCs w:val="24"/>
        </w:rPr>
        <w:t xml:space="preserve">. Platelet counts did not differ significantly between groups, in line with Esther R. and Roger E.G., despite potentially increased platelet turnover in hemophilia </w:t>
      </w:r>
      <w:r>
        <w:rPr>
          <w:rFonts w:asciiTheme="majorBidi" w:hAnsiTheme="majorBidi" w:cstheme="majorBidi"/>
          <w:sz w:val="24"/>
          <w:szCs w:val="24"/>
          <w:vertAlign w:val="superscript"/>
        </w:rPr>
        <w:t>[34]</w:t>
      </w:r>
      <w:r>
        <w:rPr>
          <w:rFonts w:asciiTheme="majorBidi" w:hAnsiTheme="majorBidi" w:cstheme="majorBidi"/>
          <w:sz w:val="24"/>
          <w:szCs w:val="24"/>
        </w:rPr>
        <w:t xml:space="preserve">. sVCAM-1 levels were significantly higher in patients than controls, supporting studies by </w:t>
      </w:r>
      <w:proofErr w:type="spellStart"/>
      <w:r>
        <w:rPr>
          <w:rFonts w:asciiTheme="majorBidi" w:hAnsiTheme="majorBidi" w:cstheme="majorBidi"/>
          <w:sz w:val="24"/>
          <w:szCs w:val="24"/>
        </w:rPr>
        <w:t>Badulescu</w:t>
      </w:r>
      <w:proofErr w:type="spellEnd"/>
      <w:r>
        <w:rPr>
          <w:rFonts w:asciiTheme="majorBidi" w:hAnsiTheme="majorBidi" w:cstheme="majorBidi"/>
          <w:sz w:val="24"/>
          <w:szCs w:val="24"/>
        </w:rPr>
        <w:t xml:space="preserve"> et al. </w:t>
      </w:r>
      <w:r>
        <w:rPr>
          <w:rFonts w:asciiTheme="majorBidi" w:hAnsiTheme="majorBidi" w:cstheme="majorBidi"/>
          <w:sz w:val="24"/>
          <w:szCs w:val="24"/>
          <w:vertAlign w:val="superscript"/>
        </w:rPr>
        <w:t>[35]</w:t>
      </w:r>
      <w:r>
        <w:rPr>
          <w:rFonts w:asciiTheme="majorBidi" w:hAnsiTheme="majorBidi" w:cstheme="majorBidi"/>
          <w:sz w:val="24"/>
          <w:szCs w:val="24"/>
        </w:rPr>
        <w:t xml:space="preserve">. Its elevation reflects endothelial activation and inflammation resulting from recurrent </w:t>
      </w:r>
      <w:proofErr w:type="spellStart"/>
      <w:r>
        <w:rPr>
          <w:rFonts w:asciiTheme="majorBidi" w:hAnsiTheme="majorBidi" w:cstheme="majorBidi"/>
          <w:sz w:val="24"/>
          <w:szCs w:val="24"/>
        </w:rPr>
        <w:t>hemarthrosis</w:t>
      </w:r>
      <w:proofErr w:type="spellEnd"/>
      <w:r>
        <w:rPr>
          <w:rFonts w:asciiTheme="majorBidi" w:hAnsiTheme="majorBidi" w:cstheme="majorBidi"/>
          <w:sz w:val="24"/>
          <w:szCs w:val="24"/>
        </w:rPr>
        <w:t xml:space="preserve">. </w:t>
      </w:r>
      <w:r>
        <w:rPr>
          <w:rFonts w:asciiTheme="majorBidi" w:hAnsiTheme="majorBidi" w:cstheme="majorBidi"/>
          <w:sz w:val="24"/>
          <w:szCs w:val="24"/>
          <w:highlight w:val="yellow"/>
        </w:rPr>
        <w:t xml:space="preserve">However, its specificity is limited as sVCAM-1 is also elevated in other joint disorders like osteoarthritis </w:t>
      </w:r>
      <w:r>
        <w:rPr>
          <w:rFonts w:asciiTheme="majorBidi" w:hAnsiTheme="majorBidi" w:cstheme="majorBidi"/>
          <w:sz w:val="24"/>
          <w:szCs w:val="24"/>
          <w:highlight w:val="yellow"/>
          <w:vertAlign w:val="superscript"/>
        </w:rPr>
        <w:t>[36]</w:t>
      </w:r>
      <w:r>
        <w:rPr>
          <w:rFonts w:asciiTheme="majorBidi" w:hAnsiTheme="majorBidi" w:cstheme="majorBidi"/>
          <w:sz w:val="24"/>
          <w:szCs w:val="24"/>
          <w:highlight w:val="yellow"/>
        </w:rPr>
        <w:t xml:space="preserve">.  Thus, its </w:t>
      </w:r>
      <w:proofErr w:type="spellStart"/>
      <w:r>
        <w:rPr>
          <w:rFonts w:asciiTheme="majorBidi" w:hAnsiTheme="majorBidi" w:cstheme="majorBidi"/>
          <w:sz w:val="24"/>
          <w:szCs w:val="24"/>
          <w:highlight w:val="yellow"/>
        </w:rPr>
        <w:t>cinical</w:t>
      </w:r>
      <w:proofErr w:type="spellEnd"/>
      <w:r>
        <w:rPr>
          <w:rFonts w:asciiTheme="majorBidi" w:hAnsiTheme="majorBidi" w:cstheme="majorBidi"/>
          <w:sz w:val="24"/>
          <w:szCs w:val="24"/>
          <w:highlight w:val="yellow"/>
        </w:rPr>
        <w:t xml:space="preserve"> utility may lie more in monitoring disease progression in hemophilic </w:t>
      </w:r>
      <w:proofErr w:type="spellStart"/>
      <w:r>
        <w:rPr>
          <w:rFonts w:asciiTheme="majorBidi" w:hAnsiTheme="majorBidi" w:cstheme="majorBidi"/>
          <w:sz w:val="24"/>
          <w:szCs w:val="24"/>
          <w:highlight w:val="yellow"/>
        </w:rPr>
        <w:t>arthropathy</w:t>
      </w:r>
      <w:proofErr w:type="spellEnd"/>
      <w:r>
        <w:rPr>
          <w:rFonts w:asciiTheme="majorBidi" w:hAnsiTheme="majorBidi" w:cstheme="majorBidi"/>
          <w:sz w:val="24"/>
          <w:szCs w:val="24"/>
          <w:highlight w:val="yellow"/>
        </w:rPr>
        <w:t xml:space="preserve"> rather than in differential diagnosis</w:t>
      </w:r>
      <w:r>
        <w:rPr>
          <w:rFonts w:asciiTheme="majorBidi" w:hAnsiTheme="majorBidi" w:cstheme="majorBidi"/>
          <w:sz w:val="24"/>
          <w:szCs w:val="24"/>
        </w:rPr>
        <w:t xml:space="preserve">. No correlation was found between sVCAM-1 and standard hematological parameters like WBC or hemoglobin, likely because sVCAM-1 reflects endothelial—not systemic—cellular processes </w:t>
      </w:r>
      <w:r>
        <w:rPr>
          <w:rFonts w:asciiTheme="majorBidi" w:hAnsiTheme="majorBidi" w:cstheme="majorBidi"/>
          <w:sz w:val="24"/>
          <w:szCs w:val="24"/>
          <w:vertAlign w:val="superscript"/>
        </w:rPr>
        <w:t>[37]</w:t>
      </w:r>
      <w:r>
        <w:rPr>
          <w:rFonts w:asciiTheme="majorBidi" w:hAnsiTheme="majorBidi" w:cstheme="majorBidi"/>
          <w:sz w:val="24"/>
          <w:szCs w:val="24"/>
        </w:rPr>
        <w:t xml:space="preserve">. Significant positive correlations were found between sVCAM-1 and both ESR and HJHS, indicating that elevated sVCAM-1 levels are linked to joint inflammation and damage severity, a trend also observed in rheumatoid arthritis and hemophilia studies </w:t>
      </w:r>
      <w:r>
        <w:rPr>
          <w:rFonts w:asciiTheme="majorBidi" w:hAnsiTheme="majorBidi" w:cstheme="majorBidi"/>
          <w:sz w:val="24"/>
          <w:szCs w:val="24"/>
          <w:vertAlign w:val="superscript"/>
        </w:rPr>
        <w:t>[15,38]</w:t>
      </w:r>
      <w:r>
        <w:rPr>
          <w:rFonts w:asciiTheme="majorBidi" w:hAnsiTheme="majorBidi" w:cstheme="majorBidi"/>
          <w:sz w:val="24"/>
          <w:szCs w:val="24"/>
        </w:rPr>
        <w:t xml:space="preserve">. Finally, with an AUC of 1.0, sVCAM-1 demonstrated perfect sensitivity and specificity, supporting its role as a promising biomarker for hemophilic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w:t>
      </w: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Conclusion:</w:t>
      </w:r>
    </w:p>
    <w:p w:rsidR="006A601F" w:rsidRDefault="006A601F" w:rsidP="006A601F">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Hemophilia patients were diagnosed at 3–4 years old. At age presentation, 50% of patients had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mostly in the ankle.  Hemophilia patients and controls had significantly different ESRs and hematological parameters (white blood cell count, hemoglobin levels, and platelet count).  Hemophilia patients have considerably greater sVCAM-1 levels than controls. </w:t>
      </w:r>
      <w:r>
        <w:rPr>
          <w:rFonts w:asciiTheme="majorBidi" w:hAnsiTheme="majorBidi" w:cstheme="majorBidi"/>
          <w:sz w:val="24"/>
          <w:szCs w:val="24"/>
        </w:rPr>
        <w:br/>
        <w:t xml:space="preserve">In hemophilic individuals with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sVCAM-1 levels are much greater. </w:t>
      </w:r>
      <w:r>
        <w:rPr>
          <w:rFonts w:asciiTheme="majorBidi" w:hAnsiTheme="majorBidi" w:cstheme="majorBidi"/>
          <w:sz w:val="24"/>
          <w:szCs w:val="24"/>
        </w:rPr>
        <w:br/>
        <w:t xml:space="preserve">Elevated ESR levels correlated positively with sVCAM-1, although white blood cell count and hemoglobin did not.  The Hemophilia Joint Health Score (HJHS) and sVCAM-1 levels are positively correlated.  A sensitive marker for </w:t>
      </w:r>
      <w:proofErr w:type="spellStart"/>
      <w:r>
        <w:rPr>
          <w:rFonts w:asciiTheme="majorBidi" w:hAnsiTheme="majorBidi" w:cstheme="majorBidi"/>
          <w:sz w:val="24"/>
          <w:szCs w:val="24"/>
        </w:rPr>
        <w:t>arthropathy</w:t>
      </w:r>
      <w:proofErr w:type="spellEnd"/>
      <w:r>
        <w:rPr>
          <w:rFonts w:asciiTheme="majorBidi" w:hAnsiTheme="majorBidi" w:cstheme="majorBidi"/>
          <w:sz w:val="24"/>
          <w:szCs w:val="24"/>
        </w:rPr>
        <w:t xml:space="preserve"> follow-up may be soluble vascular cell adhesion molecule-1 (sVCAM-1).</w:t>
      </w:r>
    </w:p>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pStyle w:val="a3"/>
        <w:numPr>
          <w:ilvl w:val="0"/>
          <w:numId w:val="8"/>
        </w:numPr>
        <w:spacing w:after="0" w:line="36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Conflict of Interest Statement: The authors declare no conflict of interest.</w:t>
      </w:r>
    </w:p>
    <w:p w:rsidR="006A601F" w:rsidRDefault="006A601F" w:rsidP="006A601F">
      <w:pPr>
        <w:pStyle w:val="a3"/>
        <w:numPr>
          <w:ilvl w:val="0"/>
          <w:numId w:val="8"/>
        </w:numPr>
        <w:spacing w:after="0" w:line="360" w:lineRule="auto"/>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Authors' Contributions: </w:t>
      </w:r>
      <w:proofErr w:type="spellStart"/>
      <w:r>
        <w:rPr>
          <w:rFonts w:asciiTheme="majorBidi" w:hAnsiTheme="majorBidi" w:cstheme="majorBidi"/>
          <w:b/>
          <w:bCs/>
          <w:sz w:val="24"/>
          <w:szCs w:val="24"/>
          <w:lang w:bidi="ar-IQ"/>
        </w:rPr>
        <w:t>Shahad</w:t>
      </w:r>
      <w:proofErr w:type="spellEnd"/>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Amer</w:t>
      </w:r>
      <w:proofErr w:type="spellEnd"/>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Abdulrahman</w:t>
      </w:r>
      <w:proofErr w:type="spellEnd"/>
      <w:r>
        <w:rPr>
          <w:rFonts w:asciiTheme="majorBidi" w:hAnsiTheme="majorBidi" w:cstheme="majorBidi"/>
          <w:b/>
          <w:bCs/>
          <w:sz w:val="24"/>
          <w:szCs w:val="24"/>
          <w:lang w:bidi="ar-IQ"/>
        </w:rPr>
        <w:t xml:space="preserve"> </w:t>
      </w:r>
      <w:r>
        <w:rPr>
          <w:rFonts w:asciiTheme="majorBidi" w:hAnsiTheme="majorBidi" w:cstheme="majorBidi"/>
          <w:sz w:val="24"/>
          <w:szCs w:val="24"/>
          <w:lang w:bidi="ar-IQ"/>
        </w:rPr>
        <w:t xml:space="preserve">contributed to the study design and data collection; </w:t>
      </w:r>
      <w:proofErr w:type="spellStart"/>
      <w:r>
        <w:rPr>
          <w:rFonts w:asciiTheme="majorBidi" w:hAnsiTheme="majorBidi" w:cstheme="majorBidi"/>
          <w:b/>
          <w:bCs/>
          <w:sz w:val="24"/>
          <w:szCs w:val="24"/>
          <w:lang w:bidi="ar-IQ"/>
        </w:rPr>
        <w:t>Abeer</w:t>
      </w:r>
      <w:proofErr w:type="spellEnd"/>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Anwer</w:t>
      </w:r>
      <w:proofErr w:type="spellEnd"/>
      <w:r>
        <w:rPr>
          <w:rFonts w:asciiTheme="majorBidi" w:hAnsiTheme="majorBidi" w:cstheme="majorBidi"/>
          <w:b/>
          <w:bCs/>
          <w:sz w:val="24"/>
          <w:szCs w:val="24"/>
          <w:lang w:bidi="ar-IQ"/>
        </w:rPr>
        <w:t xml:space="preserve"> Ahmed </w:t>
      </w:r>
      <w:r>
        <w:rPr>
          <w:rFonts w:asciiTheme="majorBidi" w:hAnsiTheme="majorBidi" w:cstheme="majorBidi"/>
          <w:sz w:val="24"/>
          <w:szCs w:val="24"/>
          <w:lang w:bidi="ar-IQ"/>
        </w:rPr>
        <w:t>performed the statistical analysis. All authors reviewed and approved the final version.</w:t>
      </w:r>
    </w:p>
    <w:p w:rsidR="006A601F" w:rsidRDefault="006A601F" w:rsidP="006A601F">
      <w:pPr>
        <w:pStyle w:val="a3"/>
        <w:numPr>
          <w:ilvl w:val="0"/>
          <w:numId w:val="8"/>
        </w:numPr>
        <w:spacing w:after="0"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No Funding</w:t>
      </w:r>
    </w:p>
    <w:p w:rsidR="006A601F" w:rsidRDefault="006A601F" w:rsidP="006A601F">
      <w:pPr>
        <w:spacing w:after="0" w:line="360" w:lineRule="auto"/>
        <w:jc w:val="both"/>
        <w:rPr>
          <w:rFonts w:asciiTheme="majorBidi" w:hAnsiTheme="majorBidi" w:cstheme="majorBidi"/>
          <w:sz w:val="24"/>
          <w:szCs w:val="24"/>
        </w:rPr>
      </w:pPr>
    </w:p>
    <w:p w:rsidR="006A601F" w:rsidRDefault="006A601F" w:rsidP="006A601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References:</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Means RT Jr, Rodgers G, Glader B, Arber DA, </w:t>
      </w:r>
      <w:proofErr w:type="spellStart"/>
      <w:r>
        <w:rPr>
          <w:rFonts w:asciiTheme="majorBidi" w:eastAsia="Times New Roman" w:hAnsiTheme="majorBidi" w:cstheme="majorBidi"/>
          <w:sz w:val="24"/>
          <w:szCs w:val="24"/>
        </w:rPr>
        <w:t>Appelbaum</w:t>
      </w:r>
      <w:proofErr w:type="spellEnd"/>
      <w:r>
        <w:rPr>
          <w:rFonts w:asciiTheme="majorBidi" w:eastAsia="Times New Roman" w:hAnsiTheme="majorBidi" w:cstheme="majorBidi"/>
          <w:sz w:val="24"/>
          <w:szCs w:val="24"/>
        </w:rPr>
        <w:t xml:space="preserve"> FR, et al. </w:t>
      </w:r>
      <w:proofErr w:type="spellStart"/>
      <w:r>
        <w:rPr>
          <w:rFonts w:asciiTheme="majorBidi" w:eastAsia="Times New Roman" w:hAnsiTheme="majorBidi" w:cstheme="majorBidi"/>
          <w:sz w:val="24"/>
          <w:szCs w:val="24"/>
        </w:rPr>
        <w:t>Wintrobe’s</w:t>
      </w:r>
      <w:proofErr w:type="spellEnd"/>
      <w:r>
        <w:rPr>
          <w:rFonts w:asciiTheme="majorBidi" w:eastAsia="Times New Roman" w:hAnsiTheme="majorBidi" w:cstheme="majorBidi"/>
          <w:sz w:val="24"/>
          <w:szCs w:val="24"/>
        </w:rPr>
        <w:t xml:space="preserve"> Clinical Hematology. 15th ed. Wolters Kluwer; 2024.</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Castaman</w:t>
      </w:r>
      <w:proofErr w:type="spellEnd"/>
      <w:r>
        <w:rPr>
          <w:rFonts w:asciiTheme="majorBidi" w:eastAsia="Times New Roman" w:hAnsiTheme="majorBidi" w:cstheme="majorBidi"/>
          <w:sz w:val="24"/>
          <w:szCs w:val="24"/>
        </w:rPr>
        <w:t xml:space="preserve"> G, </w:t>
      </w:r>
      <w:proofErr w:type="spellStart"/>
      <w:r>
        <w:rPr>
          <w:rFonts w:asciiTheme="majorBidi" w:eastAsia="Times New Roman" w:hAnsiTheme="majorBidi" w:cstheme="majorBidi"/>
          <w:sz w:val="24"/>
          <w:szCs w:val="24"/>
        </w:rPr>
        <w:t>Peyvandi</w:t>
      </w:r>
      <w:proofErr w:type="spellEnd"/>
      <w:r>
        <w:rPr>
          <w:rFonts w:asciiTheme="majorBidi" w:eastAsia="Times New Roman" w:hAnsiTheme="majorBidi" w:cstheme="majorBidi"/>
          <w:sz w:val="24"/>
          <w:szCs w:val="24"/>
        </w:rPr>
        <w:t xml:space="preserve"> F, De </w:t>
      </w:r>
      <w:proofErr w:type="spellStart"/>
      <w:r>
        <w:rPr>
          <w:rFonts w:asciiTheme="majorBidi" w:eastAsia="Times New Roman" w:hAnsiTheme="majorBidi" w:cstheme="majorBidi"/>
          <w:sz w:val="24"/>
          <w:szCs w:val="24"/>
        </w:rPr>
        <w:t>Cristofaro</w:t>
      </w:r>
      <w:proofErr w:type="spellEnd"/>
      <w:r>
        <w:rPr>
          <w:rFonts w:asciiTheme="majorBidi" w:eastAsia="Times New Roman" w:hAnsiTheme="majorBidi" w:cstheme="majorBidi"/>
          <w:sz w:val="24"/>
          <w:szCs w:val="24"/>
        </w:rPr>
        <w:t xml:space="preserve"> R, </w:t>
      </w:r>
      <w:proofErr w:type="spellStart"/>
      <w:r>
        <w:rPr>
          <w:rFonts w:asciiTheme="majorBidi" w:eastAsia="Times New Roman" w:hAnsiTheme="majorBidi" w:cstheme="majorBidi"/>
          <w:sz w:val="24"/>
          <w:szCs w:val="24"/>
        </w:rPr>
        <w:t>Pollio</w:t>
      </w:r>
      <w:proofErr w:type="spellEnd"/>
      <w:r>
        <w:rPr>
          <w:rFonts w:asciiTheme="majorBidi" w:eastAsia="Times New Roman" w:hAnsiTheme="majorBidi" w:cstheme="majorBidi"/>
          <w:sz w:val="24"/>
          <w:szCs w:val="24"/>
        </w:rPr>
        <w:t xml:space="preserve"> B, Di </w:t>
      </w:r>
      <w:proofErr w:type="spellStart"/>
      <w:r>
        <w:rPr>
          <w:rFonts w:asciiTheme="majorBidi" w:eastAsia="Times New Roman" w:hAnsiTheme="majorBidi" w:cstheme="majorBidi"/>
          <w:sz w:val="24"/>
          <w:szCs w:val="24"/>
        </w:rPr>
        <w:t>Minno</w:t>
      </w:r>
      <w:proofErr w:type="spellEnd"/>
      <w:r>
        <w:rPr>
          <w:rFonts w:asciiTheme="majorBidi" w:eastAsia="Times New Roman" w:hAnsiTheme="majorBidi" w:cstheme="majorBidi"/>
          <w:sz w:val="24"/>
          <w:szCs w:val="24"/>
        </w:rPr>
        <w:t xml:space="preserve"> DMN. Mild and moderate hemophilia A: neglected conditions, still with unmet needs. J </w:t>
      </w:r>
      <w:proofErr w:type="spellStart"/>
      <w:r>
        <w:rPr>
          <w:rFonts w:asciiTheme="majorBidi" w:eastAsia="Times New Roman" w:hAnsiTheme="majorBidi" w:cstheme="majorBidi"/>
          <w:sz w:val="24"/>
          <w:szCs w:val="24"/>
        </w:rPr>
        <w:t>Clin</w:t>
      </w:r>
      <w:proofErr w:type="spellEnd"/>
      <w:r>
        <w:rPr>
          <w:rFonts w:asciiTheme="majorBidi" w:eastAsia="Times New Roman" w:hAnsiTheme="majorBidi" w:cstheme="majorBidi"/>
          <w:sz w:val="24"/>
          <w:szCs w:val="24"/>
        </w:rPr>
        <w:t xml:space="preserve"> Med. 2023;12(4):1368. doi:10.3390/jcm12041368.</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Pavlova A, Oldenburg J. Defining severity of hemophilia: more than factor levels. </w:t>
      </w:r>
      <w:proofErr w:type="spellStart"/>
      <w:r>
        <w:rPr>
          <w:rFonts w:asciiTheme="majorBidi" w:eastAsia="Times New Roman" w:hAnsiTheme="majorBidi" w:cstheme="majorBidi"/>
          <w:sz w:val="24"/>
          <w:szCs w:val="24"/>
        </w:rPr>
        <w:t>Semin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Thromb</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Hemost</w:t>
      </w:r>
      <w:proofErr w:type="spellEnd"/>
      <w:r>
        <w:rPr>
          <w:rFonts w:asciiTheme="majorBidi" w:eastAsia="Times New Roman" w:hAnsiTheme="majorBidi" w:cstheme="majorBidi"/>
          <w:sz w:val="24"/>
          <w:szCs w:val="24"/>
        </w:rPr>
        <w:t>. 2013;39(7):702–10.</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Hoyer LH. Hemophilia A. N </w:t>
      </w:r>
      <w:proofErr w:type="spellStart"/>
      <w:r>
        <w:rPr>
          <w:rFonts w:asciiTheme="majorBidi" w:eastAsia="Times New Roman" w:hAnsiTheme="majorBidi" w:cstheme="majorBidi"/>
          <w:sz w:val="24"/>
          <w:szCs w:val="24"/>
        </w:rPr>
        <w:t>Engl</w:t>
      </w:r>
      <w:proofErr w:type="spellEnd"/>
      <w:r>
        <w:rPr>
          <w:rFonts w:asciiTheme="majorBidi" w:eastAsia="Times New Roman" w:hAnsiTheme="majorBidi" w:cstheme="majorBidi"/>
          <w:sz w:val="24"/>
          <w:szCs w:val="24"/>
        </w:rPr>
        <w:t xml:space="preserve"> J Med. 1994:38–47.</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Rogaev</w:t>
      </w:r>
      <w:proofErr w:type="spellEnd"/>
      <w:r>
        <w:rPr>
          <w:rFonts w:asciiTheme="majorBidi" w:eastAsia="Times New Roman" w:hAnsiTheme="majorBidi" w:cstheme="majorBidi"/>
          <w:sz w:val="24"/>
          <w:szCs w:val="24"/>
        </w:rPr>
        <w:t xml:space="preserve"> EI, </w:t>
      </w:r>
      <w:proofErr w:type="spellStart"/>
      <w:r>
        <w:rPr>
          <w:rFonts w:asciiTheme="majorBidi" w:eastAsia="Times New Roman" w:hAnsiTheme="majorBidi" w:cstheme="majorBidi"/>
          <w:sz w:val="24"/>
          <w:szCs w:val="24"/>
        </w:rPr>
        <w:t>Grigorenko</w:t>
      </w:r>
      <w:proofErr w:type="spellEnd"/>
      <w:r>
        <w:rPr>
          <w:rFonts w:asciiTheme="majorBidi" w:eastAsia="Times New Roman" w:hAnsiTheme="majorBidi" w:cstheme="majorBidi"/>
          <w:sz w:val="24"/>
          <w:szCs w:val="24"/>
        </w:rPr>
        <w:t xml:space="preserve"> AP, </w:t>
      </w:r>
      <w:proofErr w:type="spellStart"/>
      <w:r>
        <w:rPr>
          <w:rFonts w:asciiTheme="majorBidi" w:eastAsia="Times New Roman" w:hAnsiTheme="majorBidi" w:cstheme="majorBidi"/>
          <w:sz w:val="24"/>
          <w:szCs w:val="24"/>
        </w:rPr>
        <w:t>Faskhutdinova</w:t>
      </w:r>
      <w:proofErr w:type="spellEnd"/>
      <w:r>
        <w:rPr>
          <w:rFonts w:asciiTheme="majorBidi" w:eastAsia="Times New Roman" w:hAnsiTheme="majorBidi" w:cstheme="majorBidi"/>
          <w:sz w:val="24"/>
          <w:szCs w:val="24"/>
        </w:rPr>
        <w:t xml:space="preserve"> G, Kittler EL, </w:t>
      </w:r>
      <w:proofErr w:type="spellStart"/>
      <w:r>
        <w:rPr>
          <w:rFonts w:asciiTheme="majorBidi" w:eastAsia="Times New Roman" w:hAnsiTheme="majorBidi" w:cstheme="majorBidi"/>
          <w:sz w:val="24"/>
          <w:szCs w:val="24"/>
        </w:rPr>
        <w:t>Moliaka</w:t>
      </w:r>
      <w:proofErr w:type="spellEnd"/>
      <w:r>
        <w:rPr>
          <w:rFonts w:asciiTheme="majorBidi" w:eastAsia="Times New Roman" w:hAnsiTheme="majorBidi" w:cstheme="majorBidi"/>
          <w:sz w:val="24"/>
          <w:szCs w:val="24"/>
        </w:rPr>
        <w:t xml:space="preserve"> YK. Genotype analysis identifies the cause of the “royal disease”. Science. </w:t>
      </w:r>
      <w:proofErr w:type="gramStart"/>
      <w:r>
        <w:rPr>
          <w:rFonts w:asciiTheme="majorBidi" w:eastAsia="Times New Roman" w:hAnsiTheme="majorBidi" w:cstheme="majorBidi"/>
          <w:sz w:val="24"/>
          <w:szCs w:val="24"/>
        </w:rPr>
        <w:t>2009;326:817</w:t>
      </w:r>
      <w:proofErr w:type="gramEnd"/>
      <w:r>
        <w:rPr>
          <w:rFonts w:asciiTheme="majorBidi" w:eastAsia="Times New Roman" w:hAnsiTheme="majorBidi" w:cstheme="majorBidi"/>
          <w:sz w:val="24"/>
          <w:szCs w:val="24"/>
        </w:rPr>
        <w:t>. doi:10.1126/science.1180660.</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Makris</w:t>
      </w:r>
      <w:proofErr w:type="spellEnd"/>
      <w:r>
        <w:rPr>
          <w:rFonts w:asciiTheme="majorBidi" w:eastAsia="Times New Roman" w:hAnsiTheme="majorBidi" w:cstheme="majorBidi"/>
          <w:sz w:val="24"/>
          <w:szCs w:val="24"/>
        </w:rPr>
        <w:t xml:space="preserve"> M. Is VIII worse than IX? Blood. 2009;114(4):750–1.</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lastRenderedPageBreak/>
        <w:t>Biss</w:t>
      </w:r>
      <w:proofErr w:type="spellEnd"/>
      <w:r>
        <w:rPr>
          <w:rFonts w:asciiTheme="majorBidi" w:eastAsia="Times New Roman" w:hAnsiTheme="majorBidi" w:cstheme="majorBidi"/>
          <w:sz w:val="24"/>
          <w:szCs w:val="24"/>
        </w:rPr>
        <w:t xml:space="preserve"> TT, Chan AK, </w:t>
      </w:r>
      <w:proofErr w:type="spellStart"/>
      <w:r>
        <w:rPr>
          <w:rFonts w:asciiTheme="majorBidi" w:eastAsia="Times New Roman" w:hAnsiTheme="majorBidi" w:cstheme="majorBidi"/>
          <w:sz w:val="24"/>
          <w:szCs w:val="24"/>
        </w:rPr>
        <w:t>Blanchette</w:t>
      </w:r>
      <w:proofErr w:type="spellEnd"/>
      <w:r>
        <w:rPr>
          <w:rFonts w:asciiTheme="majorBidi" w:eastAsia="Times New Roman" w:hAnsiTheme="majorBidi" w:cstheme="majorBidi"/>
          <w:sz w:val="24"/>
          <w:szCs w:val="24"/>
        </w:rPr>
        <w:t xml:space="preserve"> VS, et al. The use of prophylaxis in 2663 children and adults with hemophilia: results of the 2006 Canadian national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prophylaxis survey.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2008;14(5):923–30.</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Tagariello</w:t>
      </w:r>
      <w:proofErr w:type="spellEnd"/>
      <w:r>
        <w:rPr>
          <w:rFonts w:asciiTheme="majorBidi" w:eastAsia="Times New Roman" w:hAnsiTheme="majorBidi" w:cstheme="majorBidi"/>
          <w:sz w:val="24"/>
          <w:szCs w:val="24"/>
        </w:rPr>
        <w:t xml:space="preserve"> G, </w:t>
      </w:r>
      <w:proofErr w:type="spellStart"/>
      <w:r>
        <w:rPr>
          <w:rFonts w:asciiTheme="majorBidi" w:eastAsia="Times New Roman" w:hAnsiTheme="majorBidi" w:cstheme="majorBidi"/>
          <w:sz w:val="24"/>
          <w:szCs w:val="24"/>
        </w:rPr>
        <w:t>Iorio</w:t>
      </w:r>
      <w:proofErr w:type="spellEnd"/>
      <w:r>
        <w:rPr>
          <w:rFonts w:asciiTheme="majorBidi" w:eastAsia="Times New Roman" w:hAnsiTheme="majorBidi" w:cstheme="majorBidi"/>
          <w:sz w:val="24"/>
          <w:szCs w:val="24"/>
        </w:rPr>
        <w:t xml:space="preserve"> A, </w:t>
      </w:r>
      <w:proofErr w:type="spellStart"/>
      <w:r>
        <w:rPr>
          <w:rFonts w:asciiTheme="majorBidi" w:eastAsia="Times New Roman" w:hAnsiTheme="majorBidi" w:cstheme="majorBidi"/>
          <w:sz w:val="24"/>
          <w:szCs w:val="24"/>
        </w:rPr>
        <w:t>Santagostino</w:t>
      </w:r>
      <w:proofErr w:type="spellEnd"/>
      <w:r>
        <w:rPr>
          <w:rFonts w:asciiTheme="majorBidi" w:eastAsia="Times New Roman" w:hAnsiTheme="majorBidi" w:cstheme="majorBidi"/>
          <w:sz w:val="24"/>
          <w:szCs w:val="24"/>
        </w:rPr>
        <w:t xml:space="preserve"> E, et al. Comparison of the rates of joint arthroplasty in patients with severe factor VIII and IX deficiency: an index of different clinical severity of the 2 coagulation disorders. Blood. 2009;114(4):779–84.</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Cao DH, Liu XL, Mu K, Ma XW, Sun JL, Bai XZ, et al. Identification and genetic analysis of a factor IX gene intron 3 mutation in a hemophilia B pedigree in China. Turk J </w:t>
      </w:r>
      <w:proofErr w:type="spellStart"/>
      <w:r>
        <w:rPr>
          <w:rFonts w:asciiTheme="majorBidi" w:eastAsia="Times New Roman" w:hAnsiTheme="majorBidi" w:cstheme="majorBidi"/>
          <w:sz w:val="24"/>
          <w:szCs w:val="24"/>
        </w:rPr>
        <w:t>Haematol</w:t>
      </w:r>
      <w:proofErr w:type="spellEnd"/>
      <w:r>
        <w:rPr>
          <w:rFonts w:asciiTheme="majorBidi" w:eastAsia="Times New Roman" w:hAnsiTheme="majorBidi" w:cstheme="majorBidi"/>
          <w:sz w:val="24"/>
          <w:szCs w:val="24"/>
        </w:rPr>
        <w:t>. 2014;31(3):226–30. doi:10.4274/tjh.2013.0275.</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Van </w:t>
      </w:r>
      <w:proofErr w:type="spellStart"/>
      <w:r>
        <w:rPr>
          <w:rFonts w:asciiTheme="majorBidi" w:eastAsia="Times New Roman" w:hAnsiTheme="majorBidi" w:cstheme="majorBidi"/>
          <w:sz w:val="24"/>
          <w:szCs w:val="24"/>
        </w:rPr>
        <w:t>Vulpen</w:t>
      </w:r>
      <w:proofErr w:type="spellEnd"/>
      <w:r>
        <w:rPr>
          <w:rFonts w:asciiTheme="majorBidi" w:eastAsia="Times New Roman" w:hAnsiTheme="majorBidi" w:cstheme="majorBidi"/>
          <w:sz w:val="24"/>
          <w:szCs w:val="24"/>
        </w:rPr>
        <w:t xml:space="preserve"> LFD, Holstein K, </w:t>
      </w:r>
      <w:proofErr w:type="spellStart"/>
      <w:r>
        <w:rPr>
          <w:rFonts w:asciiTheme="majorBidi" w:eastAsia="Times New Roman" w:hAnsiTheme="majorBidi" w:cstheme="majorBidi"/>
          <w:sz w:val="24"/>
          <w:szCs w:val="24"/>
        </w:rPr>
        <w:t>Martinoli</w:t>
      </w:r>
      <w:proofErr w:type="spellEnd"/>
      <w:r>
        <w:rPr>
          <w:rFonts w:asciiTheme="majorBidi" w:eastAsia="Times New Roman" w:hAnsiTheme="majorBidi" w:cstheme="majorBidi"/>
          <w:sz w:val="24"/>
          <w:szCs w:val="24"/>
        </w:rPr>
        <w:t xml:space="preserve"> C. Joint disease in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pathophysiology, pain, and imaging.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2018;24:44</w:t>
      </w:r>
      <w:proofErr w:type="gramEnd"/>
      <w:r>
        <w:rPr>
          <w:rFonts w:asciiTheme="majorBidi" w:eastAsia="Times New Roman" w:hAnsiTheme="majorBidi" w:cstheme="majorBidi"/>
          <w:sz w:val="24"/>
          <w:szCs w:val="24"/>
        </w:rPr>
        <w:t>–9. doi:10.1111/hae.13449.</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Knipe</w:t>
      </w:r>
      <w:proofErr w:type="spellEnd"/>
      <w:r>
        <w:rPr>
          <w:rFonts w:asciiTheme="majorBidi" w:eastAsia="Times New Roman" w:hAnsiTheme="majorBidi" w:cstheme="majorBidi"/>
          <w:sz w:val="24"/>
          <w:szCs w:val="24"/>
        </w:rPr>
        <w:t xml:space="preserve"> H, Murphy A, Sharma R, et al. Hemophilic </w:t>
      </w:r>
      <w:proofErr w:type="spellStart"/>
      <w:r>
        <w:rPr>
          <w:rFonts w:asciiTheme="majorBidi" w:eastAsia="Times New Roman" w:hAnsiTheme="majorBidi" w:cstheme="majorBidi"/>
          <w:sz w:val="24"/>
          <w:szCs w:val="24"/>
        </w:rPr>
        <w:t>arthropathy</w:t>
      </w:r>
      <w:proofErr w:type="spellEnd"/>
      <w:r>
        <w:rPr>
          <w:rFonts w:asciiTheme="majorBidi" w:eastAsia="Times New Roman" w:hAnsiTheme="majorBidi" w:cstheme="majorBidi"/>
          <w:sz w:val="24"/>
          <w:szCs w:val="24"/>
        </w:rPr>
        <w:t xml:space="preserve">. Radiopaedia.org. 2024. Available from: </w:t>
      </w:r>
      <w:hyperlink r:id="rId6" w:tgtFrame="_new" w:history="1">
        <w:r>
          <w:rPr>
            <w:rStyle w:val="Hyperlink"/>
            <w:rFonts w:asciiTheme="majorBidi" w:eastAsia="Times New Roman" w:hAnsiTheme="majorBidi" w:cstheme="majorBidi"/>
            <w:sz w:val="24"/>
            <w:szCs w:val="24"/>
          </w:rPr>
          <w:t>https://radiopaedia.org/articles/9545</w:t>
        </w:r>
      </w:hyperlink>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Teyssler</w:t>
      </w:r>
      <w:proofErr w:type="spellEnd"/>
      <w:r>
        <w:rPr>
          <w:rFonts w:asciiTheme="majorBidi" w:eastAsia="Times New Roman" w:hAnsiTheme="majorBidi" w:cstheme="majorBidi"/>
          <w:sz w:val="24"/>
          <w:szCs w:val="24"/>
        </w:rPr>
        <w:t xml:space="preserve"> P, </w:t>
      </w:r>
      <w:proofErr w:type="spellStart"/>
      <w:r>
        <w:rPr>
          <w:rFonts w:asciiTheme="majorBidi" w:eastAsia="Times New Roman" w:hAnsiTheme="majorBidi" w:cstheme="majorBidi"/>
          <w:sz w:val="24"/>
          <w:szCs w:val="24"/>
        </w:rPr>
        <w:t>Kolostova</w:t>
      </w:r>
      <w:proofErr w:type="spellEnd"/>
      <w:r>
        <w:rPr>
          <w:rFonts w:asciiTheme="majorBidi" w:eastAsia="Times New Roman" w:hAnsiTheme="majorBidi" w:cstheme="majorBidi"/>
          <w:sz w:val="24"/>
          <w:szCs w:val="24"/>
        </w:rPr>
        <w:t xml:space="preserve"> K, </w:t>
      </w:r>
      <w:proofErr w:type="spellStart"/>
      <w:r>
        <w:rPr>
          <w:rFonts w:asciiTheme="majorBidi" w:eastAsia="Times New Roman" w:hAnsiTheme="majorBidi" w:cstheme="majorBidi"/>
          <w:sz w:val="24"/>
          <w:szCs w:val="24"/>
        </w:rPr>
        <w:t>Bobek</w:t>
      </w:r>
      <w:proofErr w:type="spellEnd"/>
      <w:r>
        <w:rPr>
          <w:rFonts w:asciiTheme="majorBidi" w:eastAsia="Times New Roman" w:hAnsiTheme="majorBidi" w:cstheme="majorBidi"/>
          <w:sz w:val="24"/>
          <w:szCs w:val="24"/>
        </w:rPr>
        <w:t xml:space="preserve"> V. Assessment of pain threshold in </w:t>
      </w:r>
      <w:proofErr w:type="spellStart"/>
      <w:r>
        <w:rPr>
          <w:rFonts w:asciiTheme="majorBidi" w:eastAsia="Times New Roman" w:hAnsiTheme="majorBidi" w:cstheme="majorBidi"/>
          <w:sz w:val="24"/>
          <w:szCs w:val="24"/>
        </w:rPr>
        <w:t>haemophilic</w:t>
      </w:r>
      <w:proofErr w:type="spellEnd"/>
      <w:r>
        <w:rPr>
          <w:rFonts w:asciiTheme="majorBidi" w:eastAsia="Times New Roman" w:hAnsiTheme="majorBidi" w:cstheme="majorBidi"/>
          <w:sz w:val="24"/>
          <w:szCs w:val="24"/>
        </w:rPr>
        <w:t xml:space="preserve"> patients.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2014;20:207</w:t>
      </w:r>
      <w:proofErr w:type="gramEnd"/>
      <w:r>
        <w:rPr>
          <w:rFonts w:asciiTheme="majorBidi" w:eastAsia="Times New Roman" w:hAnsiTheme="majorBidi" w:cstheme="majorBidi"/>
          <w:sz w:val="24"/>
          <w:szCs w:val="24"/>
        </w:rPr>
        <w:t>–11.</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Rodriguez-</w:t>
      </w:r>
      <w:proofErr w:type="spellStart"/>
      <w:r>
        <w:rPr>
          <w:rFonts w:asciiTheme="majorBidi" w:eastAsia="Times New Roman" w:hAnsiTheme="majorBidi" w:cstheme="majorBidi"/>
          <w:sz w:val="24"/>
          <w:szCs w:val="24"/>
        </w:rPr>
        <w:t>Merchan</w:t>
      </w:r>
      <w:proofErr w:type="spellEnd"/>
      <w:r>
        <w:rPr>
          <w:rFonts w:asciiTheme="majorBidi" w:eastAsia="Times New Roman" w:hAnsiTheme="majorBidi" w:cstheme="majorBidi"/>
          <w:sz w:val="24"/>
          <w:szCs w:val="24"/>
        </w:rPr>
        <w:t xml:space="preserve"> EC. Serological biomarkers in hemophilic </w:t>
      </w:r>
      <w:proofErr w:type="spellStart"/>
      <w:r>
        <w:rPr>
          <w:rFonts w:asciiTheme="majorBidi" w:eastAsia="Times New Roman" w:hAnsiTheme="majorBidi" w:cstheme="majorBidi"/>
          <w:sz w:val="24"/>
          <w:szCs w:val="24"/>
        </w:rPr>
        <w:t>arthropathy</w:t>
      </w:r>
      <w:proofErr w:type="spellEnd"/>
      <w:r>
        <w:rPr>
          <w:rFonts w:asciiTheme="majorBidi" w:eastAsia="Times New Roman" w:hAnsiTheme="majorBidi" w:cstheme="majorBidi"/>
          <w:sz w:val="24"/>
          <w:szCs w:val="24"/>
        </w:rPr>
        <w:t xml:space="preserve">: Can they be used to monitor bleeding and ongoing progression of blood-induced joint disease in patients with hemophilia? Blood Rev. </w:t>
      </w:r>
      <w:proofErr w:type="gramStart"/>
      <w:r>
        <w:rPr>
          <w:rFonts w:asciiTheme="majorBidi" w:eastAsia="Times New Roman" w:hAnsiTheme="majorBidi" w:cstheme="majorBidi"/>
          <w:sz w:val="24"/>
          <w:szCs w:val="24"/>
        </w:rPr>
        <w:t>2020;41:100642</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doi:10.1016/j.blre</w:t>
      </w:r>
      <w:proofErr w:type="gramEnd"/>
      <w:r>
        <w:rPr>
          <w:rFonts w:asciiTheme="majorBidi" w:eastAsia="Times New Roman" w:hAnsiTheme="majorBidi" w:cstheme="majorBidi"/>
          <w:sz w:val="24"/>
          <w:szCs w:val="24"/>
        </w:rPr>
        <w:t>.2019.100642.</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Ferlini</w:t>
      </w:r>
      <w:proofErr w:type="spellEnd"/>
      <w:r>
        <w:rPr>
          <w:rFonts w:asciiTheme="majorBidi" w:eastAsia="Times New Roman" w:hAnsiTheme="majorBidi" w:cstheme="majorBidi"/>
          <w:sz w:val="24"/>
          <w:szCs w:val="24"/>
        </w:rPr>
        <w:t xml:space="preserve"> A, </w:t>
      </w:r>
      <w:proofErr w:type="spellStart"/>
      <w:r>
        <w:rPr>
          <w:rFonts w:asciiTheme="majorBidi" w:eastAsia="Times New Roman" w:hAnsiTheme="majorBidi" w:cstheme="majorBidi"/>
          <w:sz w:val="24"/>
          <w:szCs w:val="24"/>
        </w:rPr>
        <w:t>Scotton</w:t>
      </w:r>
      <w:proofErr w:type="spellEnd"/>
      <w:r>
        <w:rPr>
          <w:rFonts w:asciiTheme="majorBidi" w:eastAsia="Times New Roman" w:hAnsiTheme="majorBidi" w:cstheme="majorBidi"/>
          <w:sz w:val="24"/>
          <w:szCs w:val="24"/>
        </w:rPr>
        <w:t xml:space="preserve"> C, </w:t>
      </w:r>
      <w:proofErr w:type="spellStart"/>
      <w:r>
        <w:rPr>
          <w:rFonts w:asciiTheme="majorBidi" w:eastAsia="Times New Roman" w:hAnsiTheme="majorBidi" w:cstheme="majorBidi"/>
          <w:sz w:val="24"/>
          <w:szCs w:val="24"/>
        </w:rPr>
        <w:t>Novelli</w:t>
      </w:r>
      <w:proofErr w:type="spellEnd"/>
      <w:r>
        <w:rPr>
          <w:rFonts w:asciiTheme="majorBidi" w:eastAsia="Times New Roman" w:hAnsiTheme="majorBidi" w:cstheme="majorBidi"/>
          <w:sz w:val="24"/>
          <w:szCs w:val="24"/>
        </w:rPr>
        <w:t xml:space="preserve"> G. Biomarkers in rare diseases. Public Health Genomics. </w:t>
      </w:r>
      <w:proofErr w:type="gramStart"/>
      <w:r>
        <w:rPr>
          <w:rFonts w:asciiTheme="majorBidi" w:eastAsia="Times New Roman" w:hAnsiTheme="majorBidi" w:cstheme="majorBidi"/>
          <w:sz w:val="24"/>
          <w:szCs w:val="24"/>
        </w:rPr>
        <w:t>2013;16:313</w:t>
      </w:r>
      <w:proofErr w:type="gramEnd"/>
      <w:r>
        <w:rPr>
          <w:rFonts w:asciiTheme="majorBidi" w:eastAsia="Times New Roman" w:hAnsiTheme="majorBidi" w:cstheme="majorBidi"/>
          <w:sz w:val="24"/>
          <w:szCs w:val="24"/>
        </w:rPr>
        <w:t>–21. doi:10.1159/000355938.</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Tseng YH, </w:t>
      </w:r>
      <w:proofErr w:type="spellStart"/>
      <w:r>
        <w:rPr>
          <w:rFonts w:asciiTheme="majorBidi" w:eastAsia="Times New Roman" w:hAnsiTheme="majorBidi" w:cstheme="majorBidi"/>
          <w:sz w:val="24"/>
          <w:szCs w:val="24"/>
        </w:rPr>
        <w:t>Chiou</w:t>
      </w:r>
      <w:proofErr w:type="spellEnd"/>
      <w:r>
        <w:rPr>
          <w:rFonts w:asciiTheme="majorBidi" w:eastAsia="Times New Roman" w:hAnsiTheme="majorBidi" w:cstheme="majorBidi"/>
          <w:sz w:val="24"/>
          <w:szCs w:val="24"/>
        </w:rPr>
        <w:t xml:space="preserve"> SS, Zeng YS, Tsai SP, Chen CS, Liao YM, et al. Soluble vascular cell adhesion molecular-1 is a potential biological indicator of hemophilic </w:t>
      </w:r>
      <w:proofErr w:type="spellStart"/>
      <w:r>
        <w:rPr>
          <w:rFonts w:asciiTheme="majorBidi" w:eastAsia="Times New Roman" w:hAnsiTheme="majorBidi" w:cstheme="majorBidi"/>
          <w:sz w:val="24"/>
          <w:szCs w:val="24"/>
        </w:rPr>
        <w:t>arthropathy</w:t>
      </w:r>
      <w:proofErr w:type="spellEnd"/>
      <w:r>
        <w:rPr>
          <w:rFonts w:asciiTheme="majorBidi" w:eastAsia="Times New Roman" w:hAnsiTheme="majorBidi" w:cstheme="majorBidi"/>
          <w:sz w:val="24"/>
          <w:szCs w:val="24"/>
        </w:rPr>
        <w:t>. Medicine (Baltimore). 2016;</w:t>
      </w:r>
      <w:proofErr w:type="gramStart"/>
      <w:r>
        <w:rPr>
          <w:rFonts w:asciiTheme="majorBidi" w:eastAsia="Times New Roman" w:hAnsiTheme="majorBidi" w:cstheme="majorBidi"/>
          <w:sz w:val="24"/>
          <w:szCs w:val="24"/>
        </w:rPr>
        <w:t>95:e</w:t>
      </w:r>
      <w:proofErr w:type="gramEnd"/>
      <w:r>
        <w:rPr>
          <w:rFonts w:asciiTheme="majorBidi" w:eastAsia="Times New Roman" w:hAnsiTheme="majorBidi" w:cstheme="majorBidi"/>
          <w:sz w:val="24"/>
          <w:szCs w:val="24"/>
        </w:rPr>
        <w:t>5384. doi:10.1097/MD.0000000000005384.</w:t>
      </w:r>
    </w:p>
    <w:p w:rsidR="006A601F" w:rsidRP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sidRPr="006A601F">
        <w:rPr>
          <w:rFonts w:asciiTheme="majorBidi" w:eastAsia="Times New Roman" w:hAnsiTheme="majorBidi" w:cstheme="majorBidi"/>
          <w:sz w:val="24"/>
          <w:szCs w:val="24"/>
        </w:rPr>
        <w:t>Byams</w:t>
      </w:r>
      <w:proofErr w:type="spellEnd"/>
      <w:r w:rsidRPr="006A601F">
        <w:rPr>
          <w:rFonts w:asciiTheme="majorBidi" w:eastAsia="Times New Roman" w:hAnsiTheme="majorBidi" w:cstheme="majorBidi"/>
          <w:sz w:val="24"/>
          <w:szCs w:val="24"/>
        </w:rPr>
        <w:t xml:space="preserve"> VR, Miller CH, </w:t>
      </w:r>
      <w:proofErr w:type="spellStart"/>
      <w:r w:rsidRPr="006A601F">
        <w:rPr>
          <w:rFonts w:asciiTheme="majorBidi" w:eastAsia="Times New Roman" w:hAnsiTheme="majorBidi" w:cstheme="majorBidi"/>
          <w:sz w:val="24"/>
          <w:szCs w:val="24"/>
        </w:rPr>
        <w:t>Bethea</w:t>
      </w:r>
      <w:proofErr w:type="spellEnd"/>
      <w:r w:rsidRPr="006A601F">
        <w:rPr>
          <w:rFonts w:asciiTheme="majorBidi" w:eastAsia="Times New Roman" w:hAnsiTheme="majorBidi" w:cstheme="majorBidi"/>
          <w:sz w:val="24"/>
          <w:szCs w:val="24"/>
        </w:rPr>
        <w:t xml:space="preserve"> FM, Abe K, Bean CJ, </w:t>
      </w:r>
      <w:proofErr w:type="spellStart"/>
      <w:r w:rsidRPr="006A601F">
        <w:rPr>
          <w:rFonts w:asciiTheme="majorBidi" w:eastAsia="Times New Roman" w:hAnsiTheme="majorBidi" w:cstheme="majorBidi"/>
          <w:sz w:val="24"/>
          <w:szCs w:val="24"/>
        </w:rPr>
        <w:t>Schieve</w:t>
      </w:r>
      <w:proofErr w:type="spellEnd"/>
      <w:r w:rsidRPr="006A601F">
        <w:rPr>
          <w:rFonts w:asciiTheme="majorBidi" w:eastAsia="Times New Roman" w:hAnsiTheme="majorBidi" w:cstheme="majorBidi"/>
          <w:sz w:val="24"/>
          <w:szCs w:val="24"/>
        </w:rPr>
        <w:t xml:space="preserve"> LA. Bleeding Disorders in Women and Girls: State of the Science and CDC Collaborative Programs. </w:t>
      </w:r>
      <w:r w:rsidRPr="006A601F">
        <w:rPr>
          <w:rFonts w:asciiTheme="majorBidi" w:eastAsia="Times New Roman" w:hAnsiTheme="majorBidi" w:cstheme="majorBidi"/>
          <w:i/>
          <w:iCs/>
          <w:sz w:val="24"/>
          <w:szCs w:val="24"/>
        </w:rPr>
        <w:t xml:space="preserve">J </w:t>
      </w:r>
      <w:proofErr w:type="spellStart"/>
      <w:r w:rsidRPr="006A601F">
        <w:rPr>
          <w:rFonts w:asciiTheme="majorBidi" w:eastAsia="Times New Roman" w:hAnsiTheme="majorBidi" w:cstheme="majorBidi"/>
          <w:i/>
          <w:iCs/>
          <w:sz w:val="24"/>
          <w:szCs w:val="24"/>
        </w:rPr>
        <w:t>Womens</w:t>
      </w:r>
      <w:proofErr w:type="spellEnd"/>
      <w:r w:rsidRPr="006A601F">
        <w:rPr>
          <w:rFonts w:asciiTheme="majorBidi" w:eastAsia="Times New Roman" w:hAnsiTheme="majorBidi" w:cstheme="majorBidi"/>
          <w:i/>
          <w:iCs/>
          <w:sz w:val="24"/>
          <w:szCs w:val="24"/>
        </w:rPr>
        <w:t xml:space="preserve"> Health (</w:t>
      </w:r>
      <w:proofErr w:type="spellStart"/>
      <w:r w:rsidRPr="006A601F">
        <w:rPr>
          <w:rFonts w:asciiTheme="majorBidi" w:eastAsia="Times New Roman" w:hAnsiTheme="majorBidi" w:cstheme="majorBidi"/>
          <w:i/>
          <w:iCs/>
          <w:sz w:val="24"/>
          <w:szCs w:val="24"/>
        </w:rPr>
        <w:t>Larchmt</w:t>
      </w:r>
      <w:proofErr w:type="spellEnd"/>
      <w:r w:rsidRPr="006A601F">
        <w:rPr>
          <w:rFonts w:asciiTheme="majorBidi" w:eastAsia="Times New Roman" w:hAnsiTheme="majorBidi" w:cstheme="majorBidi"/>
          <w:i/>
          <w:iCs/>
          <w:sz w:val="24"/>
          <w:szCs w:val="24"/>
        </w:rPr>
        <w:t>)</w:t>
      </w:r>
      <w:r w:rsidRPr="006A601F">
        <w:rPr>
          <w:rFonts w:asciiTheme="majorBidi" w:eastAsia="Times New Roman" w:hAnsiTheme="majorBidi" w:cstheme="majorBidi"/>
          <w:sz w:val="24"/>
          <w:szCs w:val="24"/>
        </w:rPr>
        <w:t>. 2022;31(3):301-309. doi:10.1089/jwh.2022.0008</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Islam MN, Biswas AR, </w:t>
      </w:r>
      <w:proofErr w:type="spellStart"/>
      <w:r>
        <w:rPr>
          <w:rFonts w:asciiTheme="majorBidi" w:eastAsia="Times New Roman" w:hAnsiTheme="majorBidi" w:cstheme="majorBidi"/>
          <w:sz w:val="24"/>
          <w:szCs w:val="24"/>
        </w:rPr>
        <w:t>Nazneen</w:t>
      </w:r>
      <w:proofErr w:type="spellEnd"/>
      <w:r>
        <w:rPr>
          <w:rFonts w:asciiTheme="majorBidi" w:eastAsia="Times New Roman" w:hAnsiTheme="majorBidi" w:cstheme="majorBidi"/>
          <w:sz w:val="24"/>
          <w:szCs w:val="24"/>
        </w:rPr>
        <w:t xml:space="preserve"> H, Chowdhury N, </w:t>
      </w:r>
      <w:proofErr w:type="spellStart"/>
      <w:r>
        <w:rPr>
          <w:rFonts w:asciiTheme="majorBidi" w:eastAsia="Times New Roman" w:hAnsiTheme="majorBidi" w:cstheme="majorBidi"/>
          <w:sz w:val="24"/>
          <w:szCs w:val="24"/>
        </w:rPr>
        <w:t>Alam</w:t>
      </w:r>
      <w:proofErr w:type="spellEnd"/>
      <w:r>
        <w:rPr>
          <w:rFonts w:asciiTheme="majorBidi" w:eastAsia="Times New Roman" w:hAnsiTheme="majorBidi" w:cstheme="majorBidi"/>
          <w:sz w:val="24"/>
          <w:szCs w:val="24"/>
        </w:rPr>
        <w:t xml:space="preserve"> M, </w:t>
      </w:r>
      <w:proofErr w:type="spellStart"/>
      <w:r>
        <w:rPr>
          <w:rFonts w:asciiTheme="majorBidi" w:eastAsia="Times New Roman" w:hAnsiTheme="majorBidi" w:cstheme="majorBidi"/>
          <w:sz w:val="24"/>
          <w:szCs w:val="24"/>
        </w:rPr>
        <w:t>Banik</w:t>
      </w:r>
      <w:proofErr w:type="spellEnd"/>
      <w:r>
        <w:rPr>
          <w:rFonts w:asciiTheme="majorBidi" w:eastAsia="Times New Roman" w:hAnsiTheme="majorBidi" w:cstheme="majorBidi"/>
          <w:sz w:val="24"/>
          <w:szCs w:val="24"/>
        </w:rPr>
        <w:t xml:space="preserve"> J, et al. Clinical profile and demographic characteristics of moderate and severe hemophilia patients in a tertiary care hospital of Bangladesh. </w:t>
      </w:r>
      <w:proofErr w:type="spellStart"/>
      <w:r>
        <w:rPr>
          <w:rFonts w:asciiTheme="majorBidi" w:eastAsia="Times New Roman" w:hAnsiTheme="majorBidi" w:cstheme="majorBidi"/>
          <w:sz w:val="24"/>
          <w:szCs w:val="24"/>
        </w:rPr>
        <w:t>Orphanet</w:t>
      </w:r>
      <w:proofErr w:type="spellEnd"/>
      <w:r>
        <w:rPr>
          <w:rFonts w:asciiTheme="majorBidi" w:eastAsia="Times New Roman" w:hAnsiTheme="majorBidi" w:cstheme="majorBidi"/>
          <w:sz w:val="24"/>
          <w:szCs w:val="24"/>
        </w:rPr>
        <w:t xml:space="preserve"> J Rare Dis. </w:t>
      </w:r>
      <w:proofErr w:type="gramStart"/>
      <w:r>
        <w:rPr>
          <w:rFonts w:asciiTheme="majorBidi" w:eastAsia="Times New Roman" w:hAnsiTheme="majorBidi" w:cstheme="majorBidi"/>
          <w:sz w:val="24"/>
          <w:szCs w:val="24"/>
        </w:rPr>
        <w:t>2022;17:254</w:t>
      </w:r>
      <w:proofErr w:type="gramEnd"/>
      <w:r>
        <w:rPr>
          <w:rFonts w:asciiTheme="majorBidi" w:eastAsia="Times New Roman" w:hAnsiTheme="majorBidi" w:cstheme="majorBidi"/>
          <w:sz w:val="24"/>
          <w:szCs w:val="24"/>
        </w:rPr>
        <w:t>.</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Borhany</w:t>
      </w:r>
      <w:proofErr w:type="spellEnd"/>
      <w:r>
        <w:rPr>
          <w:rFonts w:asciiTheme="majorBidi" w:eastAsia="Times New Roman" w:hAnsiTheme="majorBidi" w:cstheme="majorBidi"/>
          <w:sz w:val="24"/>
          <w:szCs w:val="24"/>
        </w:rPr>
        <w:t xml:space="preserve"> M, </w:t>
      </w:r>
      <w:proofErr w:type="spellStart"/>
      <w:r>
        <w:rPr>
          <w:rFonts w:asciiTheme="majorBidi" w:eastAsia="Times New Roman" w:hAnsiTheme="majorBidi" w:cstheme="majorBidi"/>
          <w:sz w:val="24"/>
          <w:szCs w:val="24"/>
        </w:rPr>
        <w:t>Shamsi</w:t>
      </w:r>
      <w:proofErr w:type="spellEnd"/>
      <w:r>
        <w:rPr>
          <w:rFonts w:asciiTheme="majorBidi" w:eastAsia="Times New Roman" w:hAnsiTheme="majorBidi" w:cstheme="majorBidi"/>
          <w:sz w:val="24"/>
          <w:szCs w:val="24"/>
        </w:rPr>
        <w:t xml:space="preserve"> T, </w:t>
      </w:r>
      <w:proofErr w:type="spellStart"/>
      <w:r>
        <w:rPr>
          <w:rFonts w:asciiTheme="majorBidi" w:eastAsia="Times New Roman" w:hAnsiTheme="majorBidi" w:cstheme="majorBidi"/>
          <w:sz w:val="24"/>
          <w:szCs w:val="24"/>
        </w:rPr>
        <w:t>Naz</w:t>
      </w:r>
      <w:proofErr w:type="spellEnd"/>
      <w:r>
        <w:rPr>
          <w:rFonts w:asciiTheme="majorBidi" w:eastAsia="Times New Roman" w:hAnsiTheme="majorBidi" w:cstheme="majorBidi"/>
          <w:sz w:val="24"/>
          <w:szCs w:val="24"/>
        </w:rPr>
        <w:t xml:space="preserve"> A, Khan A, </w:t>
      </w:r>
      <w:proofErr w:type="spellStart"/>
      <w:r>
        <w:rPr>
          <w:rFonts w:asciiTheme="majorBidi" w:eastAsia="Times New Roman" w:hAnsiTheme="majorBidi" w:cstheme="majorBidi"/>
          <w:sz w:val="24"/>
          <w:szCs w:val="24"/>
        </w:rPr>
        <w:t>Parveen</w:t>
      </w:r>
      <w:proofErr w:type="spellEnd"/>
      <w:r>
        <w:rPr>
          <w:rFonts w:asciiTheme="majorBidi" w:eastAsia="Times New Roman" w:hAnsiTheme="majorBidi" w:cstheme="majorBidi"/>
          <w:sz w:val="24"/>
          <w:szCs w:val="24"/>
        </w:rPr>
        <w:t xml:space="preserve"> A, Ansari S, et al. Congenital bleeding disorders in Karachi, Pakistan. </w:t>
      </w:r>
      <w:proofErr w:type="spellStart"/>
      <w:r>
        <w:rPr>
          <w:rFonts w:asciiTheme="majorBidi" w:eastAsia="Times New Roman" w:hAnsiTheme="majorBidi" w:cstheme="majorBidi"/>
          <w:sz w:val="24"/>
          <w:szCs w:val="24"/>
        </w:rPr>
        <w:t>Clin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Appl</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Thromb</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Hemost</w:t>
      </w:r>
      <w:proofErr w:type="spellEnd"/>
      <w:r>
        <w:rPr>
          <w:rFonts w:asciiTheme="majorBidi" w:eastAsia="Times New Roman" w:hAnsiTheme="majorBidi" w:cstheme="majorBidi"/>
          <w:sz w:val="24"/>
          <w:szCs w:val="24"/>
        </w:rPr>
        <w:t>. 2010;16(1):1–7.</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Mahmoud AA, </w:t>
      </w:r>
      <w:proofErr w:type="spellStart"/>
      <w:r>
        <w:rPr>
          <w:rFonts w:asciiTheme="majorBidi" w:eastAsia="Times New Roman" w:hAnsiTheme="majorBidi" w:cstheme="majorBidi"/>
          <w:sz w:val="24"/>
          <w:szCs w:val="24"/>
        </w:rPr>
        <w:t>Samarah</w:t>
      </w:r>
      <w:proofErr w:type="spellEnd"/>
      <w:r>
        <w:rPr>
          <w:rFonts w:asciiTheme="majorBidi" w:eastAsia="Times New Roman" w:hAnsiTheme="majorBidi" w:cstheme="majorBidi"/>
          <w:sz w:val="24"/>
          <w:szCs w:val="24"/>
        </w:rPr>
        <w:t xml:space="preserve"> F, </w:t>
      </w:r>
      <w:proofErr w:type="spellStart"/>
      <w:r>
        <w:rPr>
          <w:rFonts w:asciiTheme="majorBidi" w:eastAsia="Times New Roman" w:hAnsiTheme="majorBidi" w:cstheme="majorBidi"/>
          <w:sz w:val="24"/>
          <w:szCs w:val="24"/>
        </w:rPr>
        <w:t>Sudqi</w:t>
      </w:r>
      <w:proofErr w:type="spellEnd"/>
      <w:r>
        <w:rPr>
          <w:rFonts w:asciiTheme="majorBidi" w:eastAsia="Times New Roman" w:hAnsiTheme="majorBidi" w:cstheme="majorBidi"/>
          <w:sz w:val="24"/>
          <w:szCs w:val="24"/>
        </w:rPr>
        <w:t xml:space="preserve"> AH. Factor VIII intron 22 inversion in severe hemophilia </w:t>
      </w:r>
      <w:proofErr w:type="gramStart"/>
      <w:r>
        <w:rPr>
          <w:rFonts w:asciiTheme="majorBidi" w:eastAsia="Times New Roman" w:hAnsiTheme="majorBidi" w:cstheme="majorBidi"/>
          <w:sz w:val="24"/>
          <w:szCs w:val="24"/>
        </w:rPr>
        <w:t>A patients</w:t>
      </w:r>
      <w:proofErr w:type="gramEnd"/>
      <w:r>
        <w:rPr>
          <w:rFonts w:asciiTheme="majorBidi" w:eastAsia="Times New Roman" w:hAnsiTheme="majorBidi" w:cstheme="majorBidi"/>
          <w:sz w:val="24"/>
          <w:szCs w:val="24"/>
        </w:rPr>
        <w:t xml:space="preserve"> in Palestine. </w:t>
      </w:r>
      <w:proofErr w:type="spellStart"/>
      <w:r>
        <w:rPr>
          <w:rFonts w:asciiTheme="majorBidi" w:eastAsia="Times New Roman" w:hAnsiTheme="majorBidi" w:cstheme="majorBidi"/>
          <w:sz w:val="24"/>
          <w:szCs w:val="24"/>
        </w:rPr>
        <w:t>Scientifica</w:t>
      </w:r>
      <w:proofErr w:type="spellEnd"/>
      <w:r>
        <w:rPr>
          <w:rFonts w:asciiTheme="majorBidi" w:eastAsia="Times New Roman" w:hAnsiTheme="majorBidi" w:cstheme="majorBidi"/>
          <w:sz w:val="24"/>
          <w:szCs w:val="24"/>
        </w:rPr>
        <w:t xml:space="preserve"> (Cairo). </w:t>
      </w:r>
      <w:proofErr w:type="gramStart"/>
      <w:r>
        <w:rPr>
          <w:rFonts w:asciiTheme="majorBidi" w:eastAsia="Times New Roman" w:hAnsiTheme="majorBidi" w:cstheme="majorBidi"/>
          <w:sz w:val="24"/>
          <w:szCs w:val="24"/>
        </w:rPr>
        <w:t>2020;2020:1</w:t>
      </w:r>
      <w:proofErr w:type="gramEnd"/>
      <w:r>
        <w:rPr>
          <w:rFonts w:asciiTheme="majorBidi" w:eastAsia="Times New Roman" w:hAnsiTheme="majorBidi" w:cstheme="majorBidi"/>
          <w:sz w:val="24"/>
          <w:szCs w:val="24"/>
        </w:rPr>
        <w:t>–7.</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Lateef IA, </w:t>
      </w:r>
      <w:proofErr w:type="spellStart"/>
      <w:r>
        <w:rPr>
          <w:rFonts w:asciiTheme="majorBidi" w:eastAsia="Times New Roman" w:hAnsiTheme="majorBidi" w:cstheme="majorBidi"/>
          <w:sz w:val="24"/>
          <w:szCs w:val="24"/>
        </w:rPr>
        <w:t>Hamood</w:t>
      </w:r>
      <w:proofErr w:type="spellEnd"/>
      <w:r>
        <w:rPr>
          <w:rFonts w:asciiTheme="majorBidi" w:eastAsia="Times New Roman" w:hAnsiTheme="majorBidi" w:cstheme="majorBidi"/>
          <w:sz w:val="24"/>
          <w:szCs w:val="24"/>
        </w:rPr>
        <w:t xml:space="preserve"> HJ, </w:t>
      </w:r>
      <w:proofErr w:type="spellStart"/>
      <w:r>
        <w:rPr>
          <w:rFonts w:asciiTheme="majorBidi" w:eastAsia="Times New Roman" w:hAnsiTheme="majorBidi" w:cstheme="majorBidi"/>
          <w:sz w:val="24"/>
          <w:szCs w:val="24"/>
        </w:rPr>
        <w:t>Khaleel</w:t>
      </w:r>
      <w:proofErr w:type="spellEnd"/>
      <w:r>
        <w:rPr>
          <w:rFonts w:asciiTheme="majorBidi" w:eastAsia="Times New Roman" w:hAnsiTheme="majorBidi" w:cstheme="majorBidi"/>
          <w:sz w:val="24"/>
          <w:szCs w:val="24"/>
        </w:rPr>
        <w:t xml:space="preserve"> OA. Spectrum of hemophilia in </w:t>
      </w:r>
      <w:proofErr w:type="spellStart"/>
      <w:r>
        <w:rPr>
          <w:rFonts w:asciiTheme="majorBidi" w:eastAsia="Times New Roman" w:hAnsiTheme="majorBidi" w:cstheme="majorBidi"/>
          <w:sz w:val="24"/>
          <w:szCs w:val="24"/>
        </w:rPr>
        <w:t>Diyala</w:t>
      </w:r>
      <w:proofErr w:type="spellEnd"/>
      <w:r>
        <w:rPr>
          <w:rFonts w:asciiTheme="majorBidi" w:eastAsia="Times New Roman" w:hAnsiTheme="majorBidi" w:cstheme="majorBidi"/>
          <w:sz w:val="24"/>
          <w:szCs w:val="24"/>
        </w:rPr>
        <w:t xml:space="preserve">-Iraq. </w:t>
      </w:r>
      <w:proofErr w:type="spellStart"/>
      <w:r>
        <w:rPr>
          <w:rFonts w:asciiTheme="majorBidi" w:eastAsia="Times New Roman" w:hAnsiTheme="majorBidi" w:cstheme="majorBidi"/>
          <w:sz w:val="24"/>
          <w:szCs w:val="24"/>
        </w:rPr>
        <w:t>Diyala</w:t>
      </w:r>
      <w:proofErr w:type="spellEnd"/>
      <w:r>
        <w:rPr>
          <w:rFonts w:asciiTheme="majorBidi" w:eastAsia="Times New Roman" w:hAnsiTheme="majorBidi" w:cstheme="majorBidi"/>
          <w:sz w:val="24"/>
          <w:szCs w:val="24"/>
        </w:rPr>
        <w:t xml:space="preserve"> J Med. 2016;10(1):1–7.</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Melado</w:t>
      </w:r>
      <w:proofErr w:type="spellEnd"/>
      <w:r>
        <w:rPr>
          <w:rFonts w:asciiTheme="majorBidi" w:eastAsia="Times New Roman" w:hAnsiTheme="majorBidi" w:cstheme="majorBidi"/>
          <w:sz w:val="24"/>
          <w:szCs w:val="24"/>
        </w:rPr>
        <w:t xml:space="preserve"> L, </w:t>
      </w:r>
      <w:proofErr w:type="spellStart"/>
      <w:r>
        <w:rPr>
          <w:rFonts w:asciiTheme="majorBidi" w:eastAsia="Times New Roman" w:hAnsiTheme="majorBidi" w:cstheme="majorBidi"/>
          <w:sz w:val="24"/>
          <w:szCs w:val="24"/>
        </w:rPr>
        <w:t>Lawrenz</w:t>
      </w:r>
      <w:proofErr w:type="spellEnd"/>
      <w:r>
        <w:rPr>
          <w:rFonts w:asciiTheme="majorBidi" w:eastAsia="Times New Roman" w:hAnsiTheme="majorBidi" w:cstheme="majorBidi"/>
          <w:sz w:val="24"/>
          <w:szCs w:val="24"/>
        </w:rPr>
        <w:t xml:space="preserve"> B, </w:t>
      </w:r>
      <w:proofErr w:type="spellStart"/>
      <w:r>
        <w:rPr>
          <w:rFonts w:asciiTheme="majorBidi" w:eastAsia="Times New Roman" w:hAnsiTheme="majorBidi" w:cstheme="majorBidi"/>
          <w:sz w:val="24"/>
          <w:szCs w:val="24"/>
        </w:rPr>
        <w:t>Nogueira</w:t>
      </w:r>
      <w:proofErr w:type="spellEnd"/>
      <w:r>
        <w:rPr>
          <w:rFonts w:asciiTheme="majorBidi" w:eastAsia="Times New Roman" w:hAnsiTheme="majorBidi" w:cstheme="majorBidi"/>
          <w:sz w:val="24"/>
          <w:szCs w:val="24"/>
        </w:rPr>
        <w:t xml:space="preserve"> D, </w:t>
      </w:r>
      <w:proofErr w:type="spellStart"/>
      <w:r>
        <w:rPr>
          <w:rFonts w:asciiTheme="majorBidi" w:eastAsia="Times New Roman" w:hAnsiTheme="majorBidi" w:cstheme="majorBidi"/>
          <w:sz w:val="24"/>
          <w:szCs w:val="24"/>
        </w:rPr>
        <w:t>Raberi</w:t>
      </w:r>
      <w:proofErr w:type="spellEnd"/>
      <w:r>
        <w:rPr>
          <w:rFonts w:asciiTheme="majorBidi" w:eastAsia="Times New Roman" w:hAnsiTheme="majorBidi" w:cstheme="majorBidi"/>
          <w:sz w:val="24"/>
          <w:szCs w:val="24"/>
        </w:rPr>
        <w:t xml:space="preserve"> A, Patel R, </w:t>
      </w:r>
      <w:proofErr w:type="spellStart"/>
      <w:r>
        <w:rPr>
          <w:rFonts w:asciiTheme="majorBidi" w:eastAsia="Times New Roman" w:hAnsiTheme="majorBidi" w:cstheme="majorBidi"/>
          <w:sz w:val="24"/>
          <w:szCs w:val="24"/>
        </w:rPr>
        <w:t>Bayram</w:t>
      </w:r>
      <w:proofErr w:type="spellEnd"/>
      <w:r>
        <w:rPr>
          <w:rFonts w:asciiTheme="majorBidi" w:eastAsia="Times New Roman" w:hAnsiTheme="majorBidi" w:cstheme="majorBidi"/>
          <w:sz w:val="24"/>
          <w:szCs w:val="24"/>
        </w:rPr>
        <w:t xml:space="preserve"> A, et al. Features of chromosomal abnormalities in relation to consanguinity: analysis of 10,556 blastocysts from IVF/ICSI cycles with PGT-A </w:t>
      </w:r>
      <w:proofErr w:type="gramStart"/>
      <w:r>
        <w:rPr>
          <w:rFonts w:asciiTheme="majorBidi" w:eastAsia="Times New Roman" w:hAnsiTheme="majorBidi" w:cstheme="majorBidi"/>
          <w:sz w:val="24"/>
          <w:szCs w:val="24"/>
        </w:rPr>
        <w:t>from</w:t>
      </w:r>
      <w:proofErr w:type="gramEnd"/>
      <w:r>
        <w:rPr>
          <w:rFonts w:asciiTheme="majorBidi" w:eastAsia="Times New Roman" w:hAnsiTheme="majorBidi" w:cstheme="majorBidi"/>
          <w:sz w:val="24"/>
          <w:szCs w:val="24"/>
        </w:rPr>
        <w:t xml:space="preserve"> consanguineous and non-consanguineous couples. 2023.</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O’Callaghan S.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testing in women and girls [Internet].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Foundation Australia. 2022. Available from: </w:t>
      </w:r>
      <w:hyperlink r:id="rId7" w:tgtFrame="_new" w:history="1">
        <w:r>
          <w:rPr>
            <w:rStyle w:val="Hyperlink"/>
            <w:rFonts w:asciiTheme="majorBidi" w:eastAsia="Times New Roman" w:hAnsiTheme="majorBidi" w:cstheme="majorBidi"/>
            <w:sz w:val="24"/>
            <w:szCs w:val="24"/>
          </w:rPr>
          <w:t>https://www.haemophilia.org.au/</w:t>
        </w:r>
      </w:hyperlink>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Peral</w:t>
      </w:r>
      <w:proofErr w:type="spellEnd"/>
      <w:r>
        <w:rPr>
          <w:rFonts w:asciiTheme="majorBidi" w:eastAsia="Times New Roman" w:hAnsiTheme="majorBidi" w:cstheme="majorBidi"/>
          <w:sz w:val="24"/>
          <w:szCs w:val="24"/>
        </w:rPr>
        <w:t xml:space="preserve"> C, De </w:t>
      </w:r>
      <w:proofErr w:type="spellStart"/>
      <w:r>
        <w:rPr>
          <w:rFonts w:asciiTheme="majorBidi" w:eastAsia="Times New Roman" w:hAnsiTheme="majorBidi" w:cstheme="majorBidi"/>
          <w:sz w:val="24"/>
          <w:szCs w:val="24"/>
        </w:rPr>
        <w:t>Lossada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Juste</w:t>
      </w:r>
      <w:proofErr w:type="spellEnd"/>
      <w:r>
        <w:rPr>
          <w:rFonts w:asciiTheme="majorBidi" w:eastAsia="Times New Roman" w:hAnsiTheme="majorBidi" w:cstheme="majorBidi"/>
          <w:sz w:val="24"/>
          <w:szCs w:val="24"/>
        </w:rPr>
        <w:t xml:space="preserve"> A, Lwoff N, et al. Economic and humanistic burden of moderate and severe hemophilia A and B in Spain: real-world evidence insights from the CHESS II study. JHEOR. 2024;11(1):122–33. doi:10.36469/001c.92369.</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St‐Louis J, Abad A, Funk S, </w:t>
      </w:r>
      <w:proofErr w:type="spellStart"/>
      <w:r>
        <w:rPr>
          <w:rFonts w:asciiTheme="majorBidi" w:eastAsia="Times New Roman" w:hAnsiTheme="majorBidi" w:cstheme="majorBidi"/>
          <w:sz w:val="24"/>
          <w:szCs w:val="24"/>
        </w:rPr>
        <w:t>Tilak</w:t>
      </w:r>
      <w:proofErr w:type="spellEnd"/>
      <w:r>
        <w:rPr>
          <w:rFonts w:asciiTheme="majorBidi" w:eastAsia="Times New Roman" w:hAnsiTheme="majorBidi" w:cstheme="majorBidi"/>
          <w:sz w:val="24"/>
          <w:szCs w:val="24"/>
        </w:rPr>
        <w:t xml:space="preserve"> M, </w:t>
      </w:r>
      <w:proofErr w:type="spellStart"/>
      <w:r>
        <w:rPr>
          <w:rFonts w:asciiTheme="majorBidi" w:eastAsia="Times New Roman" w:hAnsiTheme="majorBidi" w:cstheme="majorBidi"/>
          <w:sz w:val="24"/>
          <w:szCs w:val="24"/>
        </w:rPr>
        <w:t>Classey</w:t>
      </w:r>
      <w:proofErr w:type="spellEnd"/>
      <w:r>
        <w:rPr>
          <w:rFonts w:asciiTheme="majorBidi" w:eastAsia="Times New Roman" w:hAnsiTheme="majorBidi" w:cstheme="majorBidi"/>
          <w:sz w:val="24"/>
          <w:szCs w:val="24"/>
        </w:rPr>
        <w:t xml:space="preserve"> S, </w:t>
      </w:r>
      <w:proofErr w:type="spellStart"/>
      <w:r>
        <w:rPr>
          <w:rFonts w:asciiTheme="majorBidi" w:eastAsia="Times New Roman" w:hAnsiTheme="majorBidi" w:cstheme="majorBidi"/>
          <w:sz w:val="24"/>
          <w:szCs w:val="24"/>
        </w:rPr>
        <w:t>Zourikian</w:t>
      </w:r>
      <w:proofErr w:type="spellEnd"/>
      <w:r>
        <w:rPr>
          <w:rFonts w:asciiTheme="majorBidi" w:eastAsia="Times New Roman" w:hAnsiTheme="majorBidi" w:cstheme="majorBidi"/>
          <w:sz w:val="24"/>
          <w:szCs w:val="24"/>
        </w:rPr>
        <w:t xml:space="preserve"> N, et al. The Hemophilia Joint Health Score version 2.1 validation in adult </w:t>
      </w:r>
      <w:proofErr w:type="gramStart"/>
      <w:r>
        <w:rPr>
          <w:rFonts w:asciiTheme="majorBidi" w:eastAsia="Times New Roman" w:hAnsiTheme="majorBidi" w:cstheme="majorBidi"/>
          <w:sz w:val="24"/>
          <w:szCs w:val="24"/>
        </w:rPr>
        <w:t>patients</w:t>
      </w:r>
      <w:proofErr w:type="gramEnd"/>
      <w:r>
        <w:rPr>
          <w:rFonts w:asciiTheme="majorBidi" w:eastAsia="Times New Roman" w:hAnsiTheme="majorBidi" w:cstheme="majorBidi"/>
          <w:sz w:val="24"/>
          <w:szCs w:val="24"/>
        </w:rPr>
        <w:t xml:space="preserve"> study: a multicenter international study. Res </w:t>
      </w:r>
      <w:proofErr w:type="spellStart"/>
      <w:r>
        <w:rPr>
          <w:rFonts w:asciiTheme="majorBidi" w:eastAsia="Times New Roman" w:hAnsiTheme="majorBidi" w:cstheme="majorBidi"/>
          <w:sz w:val="24"/>
          <w:szCs w:val="24"/>
        </w:rPr>
        <w:t>Pract</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Thromb</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Haemost</w:t>
      </w:r>
      <w:proofErr w:type="spellEnd"/>
      <w:r>
        <w:rPr>
          <w:rFonts w:asciiTheme="majorBidi" w:eastAsia="Times New Roman" w:hAnsiTheme="majorBidi" w:cstheme="majorBidi"/>
          <w:sz w:val="24"/>
          <w:szCs w:val="24"/>
        </w:rPr>
        <w:t>. 2022;6(2</w:t>
      </w:r>
      <w:proofErr w:type="gramStart"/>
      <w:r>
        <w:rPr>
          <w:rFonts w:asciiTheme="majorBidi" w:eastAsia="Times New Roman" w:hAnsiTheme="majorBidi" w:cstheme="majorBidi"/>
          <w:sz w:val="24"/>
          <w:szCs w:val="24"/>
        </w:rPr>
        <w:t>):e</w:t>
      </w:r>
      <w:proofErr w:type="gramEnd"/>
      <w:r>
        <w:rPr>
          <w:rFonts w:asciiTheme="majorBidi" w:eastAsia="Times New Roman" w:hAnsiTheme="majorBidi" w:cstheme="majorBidi"/>
          <w:sz w:val="24"/>
          <w:szCs w:val="24"/>
        </w:rPr>
        <w:t>12690. doi:10.1002/rth2.12690.</w:t>
      </w:r>
    </w:p>
    <w:p w:rsidR="006A601F" w:rsidRP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Hmida</w:t>
      </w:r>
      <w:proofErr w:type="spellEnd"/>
      <w:r>
        <w:rPr>
          <w:rFonts w:asciiTheme="majorBidi" w:eastAsia="Times New Roman" w:hAnsiTheme="majorBidi" w:cstheme="majorBidi"/>
          <w:sz w:val="24"/>
          <w:szCs w:val="24"/>
        </w:rPr>
        <w:t xml:space="preserve"> J, </w:t>
      </w:r>
      <w:proofErr w:type="spellStart"/>
      <w:r>
        <w:rPr>
          <w:rFonts w:asciiTheme="majorBidi" w:eastAsia="Times New Roman" w:hAnsiTheme="majorBidi" w:cstheme="majorBidi"/>
          <w:sz w:val="24"/>
          <w:szCs w:val="24"/>
        </w:rPr>
        <w:t>Hilberg</w:t>
      </w:r>
      <w:proofErr w:type="spellEnd"/>
      <w:r>
        <w:rPr>
          <w:rFonts w:asciiTheme="majorBidi" w:eastAsia="Times New Roman" w:hAnsiTheme="majorBidi" w:cstheme="majorBidi"/>
          <w:sz w:val="24"/>
          <w:szCs w:val="24"/>
        </w:rPr>
        <w:t xml:space="preserve"> T, </w:t>
      </w:r>
      <w:proofErr w:type="spellStart"/>
      <w:r>
        <w:rPr>
          <w:rFonts w:asciiTheme="majorBidi" w:eastAsia="Times New Roman" w:hAnsiTheme="majorBidi" w:cstheme="majorBidi"/>
          <w:sz w:val="24"/>
          <w:szCs w:val="24"/>
        </w:rPr>
        <w:t>Ransmann</w:t>
      </w:r>
      <w:proofErr w:type="spellEnd"/>
      <w:r>
        <w:rPr>
          <w:rFonts w:asciiTheme="majorBidi" w:eastAsia="Times New Roman" w:hAnsiTheme="majorBidi" w:cstheme="majorBidi"/>
          <w:sz w:val="24"/>
          <w:szCs w:val="24"/>
        </w:rPr>
        <w:t xml:space="preserve"> P, </w:t>
      </w:r>
      <w:proofErr w:type="spellStart"/>
      <w:r>
        <w:rPr>
          <w:rFonts w:asciiTheme="majorBidi" w:eastAsia="Times New Roman" w:hAnsiTheme="majorBidi" w:cstheme="majorBidi"/>
          <w:sz w:val="24"/>
          <w:szCs w:val="24"/>
        </w:rPr>
        <w:t>Tomschi</w:t>
      </w:r>
      <w:proofErr w:type="spellEnd"/>
      <w:r>
        <w:rPr>
          <w:rFonts w:asciiTheme="majorBidi" w:eastAsia="Times New Roman" w:hAnsiTheme="majorBidi" w:cstheme="majorBidi"/>
          <w:sz w:val="24"/>
          <w:szCs w:val="24"/>
        </w:rPr>
        <w:t xml:space="preserve"> F, et al. Most subjectively affected joints in patients with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 what has changed after 20 years in Germany?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w:t>
      </w:r>
      <w:r w:rsidRPr="006A601F">
        <w:rPr>
          <w:rFonts w:asciiTheme="majorBidi" w:eastAsia="Times New Roman" w:hAnsiTheme="majorBidi" w:cstheme="majorBidi"/>
          <w:sz w:val="24"/>
          <w:szCs w:val="24"/>
        </w:rPr>
        <w:t>2022;28(4):663–70. doi:10.1111/hae.14564.</w:t>
      </w:r>
    </w:p>
    <w:p w:rsidR="006A601F" w:rsidRDefault="006A601F" w:rsidP="006A601F">
      <w:pPr>
        <w:pStyle w:val="a3"/>
        <w:numPr>
          <w:ilvl w:val="0"/>
          <w:numId w:val="9"/>
        </w:numPr>
        <w:spacing w:after="0" w:line="360" w:lineRule="auto"/>
        <w:jc w:val="both"/>
        <w:rPr>
          <w:rFonts w:asciiTheme="majorBidi" w:eastAsia="Times New Roman" w:hAnsiTheme="majorBidi" w:cstheme="majorBidi"/>
          <w:color w:val="FF0000"/>
          <w:sz w:val="24"/>
          <w:szCs w:val="24"/>
        </w:rPr>
      </w:pPr>
      <w:proofErr w:type="spellStart"/>
      <w:r w:rsidRPr="006A601F">
        <w:rPr>
          <w:rFonts w:asciiTheme="majorBidi" w:eastAsia="Times New Roman" w:hAnsiTheme="majorBidi" w:cstheme="majorBidi"/>
          <w:sz w:val="24"/>
          <w:szCs w:val="24"/>
        </w:rPr>
        <w:t>Senthelal</w:t>
      </w:r>
      <w:proofErr w:type="spellEnd"/>
      <w:r w:rsidRPr="006A601F">
        <w:rPr>
          <w:rFonts w:asciiTheme="majorBidi" w:eastAsia="Times New Roman" w:hAnsiTheme="majorBidi" w:cstheme="majorBidi"/>
          <w:sz w:val="24"/>
          <w:szCs w:val="24"/>
        </w:rPr>
        <w:t xml:space="preserve"> S, Li J, </w:t>
      </w:r>
      <w:proofErr w:type="spellStart"/>
      <w:r w:rsidRPr="006A601F">
        <w:rPr>
          <w:rFonts w:asciiTheme="majorBidi" w:eastAsia="Times New Roman" w:hAnsiTheme="majorBidi" w:cstheme="majorBidi"/>
          <w:sz w:val="24"/>
          <w:szCs w:val="24"/>
        </w:rPr>
        <w:t>Ardeshirzadeh</w:t>
      </w:r>
      <w:proofErr w:type="spellEnd"/>
      <w:r w:rsidRPr="006A601F">
        <w:rPr>
          <w:rFonts w:asciiTheme="majorBidi" w:eastAsia="Times New Roman" w:hAnsiTheme="majorBidi" w:cstheme="majorBidi"/>
          <w:sz w:val="24"/>
          <w:szCs w:val="24"/>
        </w:rPr>
        <w:t xml:space="preserve"> S, et al. Arthritis. [Updated 2023 Jun 20]. In: </w:t>
      </w:r>
      <w:proofErr w:type="spellStart"/>
      <w:r w:rsidRPr="006A601F">
        <w:rPr>
          <w:rFonts w:asciiTheme="majorBidi" w:eastAsia="Times New Roman" w:hAnsiTheme="majorBidi" w:cstheme="majorBidi"/>
          <w:sz w:val="24"/>
          <w:szCs w:val="24"/>
        </w:rPr>
        <w:t>StatPearls</w:t>
      </w:r>
      <w:proofErr w:type="spellEnd"/>
      <w:r w:rsidRPr="006A601F">
        <w:rPr>
          <w:rFonts w:asciiTheme="majorBidi" w:eastAsia="Times New Roman" w:hAnsiTheme="majorBidi" w:cstheme="majorBidi"/>
          <w:sz w:val="24"/>
          <w:szCs w:val="24"/>
        </w:rPr>
        <w:t xml:space="preserve"> [Internet]. Treasure Island (FL): </w:t>
      </w:r>
      <w:proofErr w:type="spellStart"/>
      <w:r w:rsidRPr="006A601F">
        <w:rPr>
          <w:rFonts w:asciiTheme="majorBidi" w:eastAsia="Times New Roman" w:hAnsiTheme="majorBidi" w:cstheme="majorBidi"/>
          <w:sz w:val="24"/>
          <w:szCs w:val="24"/>
        </w:rPr>
        <w:t>StatPearls</w:t>
      </w:r>
      <w:proofErr w:type="spellEnd"/>
      <w:r w:rsidRPr="006A601F">
        <w:rPr>
          <w:rFonts w:asciiTheme="majorBidi" w:eastAsia="Times New Roman" w:hAnsiTheme="majorBidi" w:cstheme="majorBidi"/>
          <w:sz w:val="24"/>
          <w:szCs w:val="24"/>
        </w:rPr>
        <w:t xml:space="preserve"> Publishing; 2025 Jan-. Available from: </w:t>
      </w:r>
      <w:hyperlink r:id="rId8" w:history="1">
        <w:r w:rsidRPr="00B26478">
          <w:rPr>
            <w:rStyle w:val="Hyperlink"/>
            <w:rFonts w:asciiTheme="majorBidi" w:eastAsia="Times New Roman" w:hAnsiTheme="majorBidi" w:cstheme="majorBidi"/>
            <w:sz w:val="24"/>
            <w:szCs w:val="24"/>
          </w:rPr>
          <w:t>https://www.ncbi.nlm.nih.gov/books/NBK518992</w:t>
        </w:r>
      </w:hyperlink>
      <w:r>
        <w:rPr>
          <w:rFonts w:asciiTheme="majorBidi" w:eastAsia="Times New Roman" w:hAnsiTheme="majorBidi" w:cstheme="majorBidi"/>
          <w:color w:val="FF0000"/>
          <w:sz w:val="24"/>
          <w:szCs w:val="24"/>
        </w:rPr>
        <w:t xml:space="preserve"> </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Mohammed RQ, Ahmed AA. Elucidating the involvement of neutrophil extracellular traps in </w:t>
      </w:r>
      <w:proofErr w:type="spellStart"/>
      <w:r>
        <w:rPr>
          <w:rFonts w:asciiTheme="majorBidi" w:eastAsia="Times New Roman" w:hAnsiTheme="majorBidi" w:cstheme="majorBidi"/>
          <w:sz w:val="24"/>
          <w:szCs w:val="24"/>
        </w:rPr>
        <w:t>hemarthrosis</w:t>
      </w:r>
      <w:proofErr w:type="spellEnd"/>
      <w:r>
        <w:rPr>
          <w:rFonts w:asciiTheme="majorBidi" w:eastAsia="Times New Roman" w:hAnsiTheme="majorBidi" w:cstheme="majorBidi"/>
          <w:sz w:val="24"/>
          <w:szCs w:val="24"/>
        </w:rPr>
        <w:t xml:space="preserve"> pathophysiology. Iraqi J </w:t>
      </w:r>
      <w:proofErr w:type="spellStart"/>
      <w:r>
        <w:rPr>
          <w:rFonts w:asciiTheme="majorBidi" w:eastAsia="Times New Roman" w:hAnsiTheme="majorBidi" w:cstheme="majorBidi"/>
          <w:sz w:val="24"/>
          <w:szCs w:val="24"/>
        </w:rPr>
        <w:t>Hematol</w:t>
      </w:r>
      <w:proofErr w:type="spellEnd"/>
      <w:r>
        <w:rPr>
          <w:rFonts w:asciiTheme="majorBidi" w:eastAsia="Times New Roman" w:hAnsiTheme="majorBidi" w:cstheme="majorBidi"/>
          <w:sz w:val="24"/>
          <w:szCs w:val="24"/>
        </w:rPr>
        <w:t xml:space="preserve">. 2023;12(2):146–9. </w:t>
      </w:r>
      <w:proofErr w:type="gramStart"/>
      <w:r>
        <w:rPr>
          <w:rFonts w:asciiTheme="majorBidi" w:eastAsia="Times New Roman" w:hAnsiTheme="majorBidi" w:cstheme="majorBidi"/>
          <w:sz w:val="24"/>
          <w:szCs w:val="24"/>
        </w:rPr>
        <w:t>doi:10.4103/ijh.ijh</w:t>
      </w:r>
      <w:proofErr w:type="gramEnd"/>
      <w:r>
        <w:rPr>
          <w:rFonts w:asciiTheme="majorBidi" w:eastAsia="Times New Roman" w:hAnsiTheme="majorBidi" w:cstheme="majorBidi"/>
          <w:sz w:val="24"/>
          <w:szCs w:val="24"/>
        </w:rPr>
        <w:t>_63_23.</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Krumb</w:t>
      </w:r>
      <w:proofErr w:type="spellEnd"/>
      <w:r>
        <w:rPr>
          <w:rFonts w:asciiTheme="majorBidi" w:eastAsia="Times New Roman" w:hAnsiTheme="majorBidi" w:cstheme="majorBidi"/>
          <w:sz w:val="24"/>
          <w:szCs w:val="24"/>
        </w:rPr>
        <w:t xml:space="preserve"> E, </w:t>
      </w:r>
      <w:proofErr w:type="spellStart"/>
      <w:r>
        <w:rPr>
          <w:rFonts w:asciiTheme="majorBidi" w:eastAsia="Times New Roman" w:hAnsiTheme="majorBidi" w:cstheme="majorBidi"/>
          <w:sz w:val="24"/>
          <w:szCs w:val="24"/>
        </w:rPr>
        <w:t>Fijnvandraat</w:t>
      </w:r>
      <w:proofErr w:type="spellEnd"/>
      <w:r>
        <w:rPr>
          <w:rFonts w:asciiTheme="majorBidi" w:eastAsia="Times New Roman" w:hAnsiTheme="majorBidi" w:cstheme="majorBidi"/>
          <w:sz w:val="24"/>
          <w:szCs w:val="24"/>
        </w:rPr>
        <w:t xml:space="preserve"> K, </w:t>
      </w:r>
      <w:proofErr w:type="spellStart"/>
      <w:r>
        <w:rPr>
          <w:rFonts w:asciiTheme="majorBidi" w:eastAsia="Times New Roman" w:hAnsiTheme="majorBidi" w:cstheme="majorBidi"/>
          <w:sz w:val="24"/>
          <w:szCs w:val="24"/>
        </w:rPr>
        <w:t>Makris</w:t>
      </w:r>
      <w:proofErr w:type="spellEnd"/>
      <w:r>
        <w:rPr>
          <w:rFonts w:asciiTheme="majorBidi" w:eastAsia="Times New Roman" w:hAnsiTheme="majorBidi" w:cstheme="majorBidi"/>
          <w:sz w:val="24"/>
          <w:szCs w:val="24"/>
        </w:rPr>
        <w:t xml:space="preserve"> M, </w:t>
      </w:r>
      <w:proofErr w:type="spellStart"/>
      <w:r>
        <w:rPr>
          <w:rFonts w:asciiTheme="majorBidi" w:eastAsia="Times New Roman" w:hAnsiTheme="majorBidi" w:cstheme="majorBidi"/>
          <w:sz w:val="24"/>
          <w:szCs w:val="24"/>
        </w:rPr>
        <w:t>Peyvandi</w:t>
      </w:r>
      <w:proofErr w:type="spellEnd"/>
      <w:r>
        <w:rPr>
          <w:rFonts w:asciiTheme="majorBidi" w:eastAsia="Times New Roman" w:hAnsiTheme="majorBidi" w:cstheme="majorBidi"/>
          <w:sz w:val="24"/>
          <w:szCs w:val="24"/>
        </w:rPr>
        <w:t xml:space="preserve"> F, Ryan A, </w:t>
      </w:r>
      <w:proofErr w:type="spellStart"/>
      <w:r>
        <w:rPr>
          <w:rFonts w:asciiTheme="majorBidi" w:eastAsia="Times New Roman" w:hAnsiTheme="majorBidi" w:cstheme="majorBidi"/>
          <w:sz w:val="24"/>
          <w:szCs w:val="24"/>
        </w:rPr>
        <w:t>Athanasopoulos</w:t>
      </w:r>
      <w:proofErr w:type="spellEnd"/>
      <w:r>
        <w:rPr>
          <w:rFonts w:asciiTheme="majorBidi" w:eastAsia="Times New Roman" w:hAnsiTheme="majorBidi" w:cstheme="majorBidi"/>
          <w:sz w:val="24"/>
          <w:szCs w:val="24"/>
        </w:rPr>
        <w:t xml:space="preserve"> A, et al. Adoption of </w:t>
      </w:r>
      <w:proofErr w:type="spellStart"/>
      <w:r>
        <w:rPr>
          <w:rFonts w:asciiTheme="majorBidi" w:eastAsia="Times New Roman" w:hAnsiTheme="majorBidi" w:cstheme="majorBidi"/>
          <w:sz w:val="24"/>
          <w:szCs w:val="24"/>
        </w:rPr>
        <w:t>emicizumab</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Hemlibra</w:t>
      </w:r>
      <w:proofErr w:type="spellEnd"/>
      <w:r>
        <w:rPr>
          <w:rFonts w:asciiTheme="majorBidi" w:eastAsia="Times New Roman" w:hAnsiTheme="majorBidi" w:cstheme="majorBidi"/>
          <w:sz w:val="24"/>
          <w:szCs w:val="24"/>
        </w:rPr>
        <w:t xml:space="preserve">®) for hemophilia A in Europe: data from the 2020 European Association for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and Allied Disorders survey.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2021;27(5):736–43. doi:10.1111/hae.14372.</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lastRenderedPageBreak/>
        <w:t>Spanoudaki</w:t>
      </w:r>
      <w:proofErr w:type="spellEnd"/>
      <w:r>
        <w:rPr>
          <w:rFonts w:asciiTheme="majorBidi" w:eastAsia="Times New Roman" w:hAnsiTheme="majorBidi" w:cstheme="majorBidi"/>
          <w:sz w:val="24"/>
          <w:szCs w:val="24"/>
        </w:rPr>
        <w:t xml:space="preserve"> A, Papadopoulos N, </w:t>
      </w:r>
      <w:proofErr w:type="spellStart"/>
      <w:r>
        <w:rPr>
          <w:rFonts w:asciiTheme="majorBidi" w:eastAsia="Times New Roman" w:hAnsiTheme="majorBidi" w:cstheme="majorBidi"/>
          <w:sz w:val="24"/>
          <w:szCs w:val="24"/>
        </w:rPr>
        <w:t>Trifylli</w:t>
      </w:r>
      <w:proofErr w:type="spellEnd"/>
      <w:r>
        <w:rPr>
          <w:rFonts w:asciiTheme="majorBidi" w:eastAsia="Times New Roman" w:hAnsiTheme="majorBidi" w:cstheme="majorBidi"/>
          <w:sz w:val="24"/>
          <w:szCs w:val="24"/>
        </w:rPr>
        <w:t xml:space="preserve"> EM, </w:t>
      </w:r>
      <w:proofErr w:type="spellStart"/>
      <w:r>
        <w:rPr>
          <w:rFonts w:asciiTheme="majorBidi" w:eastAsia="Times New Roman" w:hAnsiTheme="majorBidi" w:cstheme="majorBidi"/>
          <w:sz w:val="24"/>
          <w:szCs w:val="24"/>
        </w:rPr>
        <w:t>Koustas</w:t>
      </w:r>
      <w:proofErr w:type="spellEnd"/>
      <w:r>
        <w:rPr>
          <w:rFonts w:asciiTheme="majorBidi" w:eastAsia="Times New Roman" w:hAnsiTheme="majorBidi" w:cstheme="majorBidi"/>
          <w:sz w:val="24"/>
          <w:szCs w:val="24"/>
        </w:rPr>
        <w:t xml:space="preserve"> E, </w:t>
      </w:r>
      <w:proofErr w:type="spellStart"/>
      <w:r>
        <w:rPr>
          <w:rFonts w:asciiTheme="majorBidi" w:eastAsia="Times New Roman" w:hAnsiTheme="majorBidi" w:cstheme="majorBidi"/>
          <w:sz w:val="24"/>
          <w:szCs w:val="24"/>
        </w:rPr>
        <w:t>Vasileiadi</w:t>
      </w:r>
      <w:proofErr w:type="spellEnd"/>
      <w:r>
        <w:rPr>
          <w:rFonts w:asciiTheme="majorBidi" w:eastAsia="Times New Roman" w:hAnsiTheme="majorBidi" w:cstheme="majorBidi"/>
          <w:sz w:val="24"/>
          <w:szCs w:val="24"/>
        </w:rPr>
        <w:t xml:space="preserve"> S, Deutsch M. Hepatitis C virus infections in patients with hemophilia: links, risks and management. J </w:t>
      </w:r>
      <w:proofErr w:type="spellStart"/>
      <w:r>
        <w:rPr>
          <w:rFonts w:asciiTheme="majorBidi" w:eastAsia="Times New Roman" w:hAnsiTheme="majorBidi" w:cstheme="majorBidi"/>
          <w:sz w:val="24"/>
          <w:szCs w:val="24"/>
        </w:rPr>
        <w:t>Multidiscip</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Healthc</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2022;15:2301</w:t>
      </w:r>
      <w:proofErr w:type="gramEnd"/>
      <w:r>
        <w:rPr>
          <w:rFonts w:asciiTheme="majorBidi" w:eastAsia="Times New Roman" w:hAnsiTheme="majorBidi" w:cstheme="majorBidi"/>
          <w:sz w:val="24"/>
          <w:szCs w:val="24"/>
        </w:rPr>
        <w:t>–9. doi:10.2147/JMDH.S363177.</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Dragani</w:t>
      </w:r>
      <w:proofErr w:type="spellEnd"/>
      <w:r>
        <w:rPr>
          <w:rFonts w:asciiTheme="majorBidi" w:eastAsia="Times New Roman" w:hAnsiTheme="majorBidi" w:cstheme="majorBidi"/>
          <w:sz w:val="24"/>
          <w:szCs w:val="24"/>
        </w:rPr>
        <w:t xml:space="preserve"> A, </w:t>
      </w:r>
      <w:proofErr w:type="spellStart"/>
      <w:r>
        <w:rPr>
          <w:rFonts w:asciiTheme="majorBidi" w:eastAsia="Times New Roman" w:hAnsiTheme="majorBidi" w:cstheme="majorBidi"/>
          <w:sz w:val="24"/>
          <w:szCs w:val="24"/>
        </w:rPr>
        <w:t>Malizia</w:t>
      </w:r>
      <w:proofErr w:type="spellEnd"/>
      <w:r>
        <w:rPr>
          <w:rFonts w:asciiTheme="majorBidi" w:eastAsia="Times New Roman" w:hAnsiTheme="majorBidi" w:cstheme="majorBidi"/>
          <w:sz w:val="24"/>
          <w:szCs w:val="24"/>
        </w:rPr>
        <w:t xml:space="preserve"> R, </w:t>
      </w:r>
      <w:proofErr w:type="spellStart"/>
      <w:r>
        <w:rPr>
          <w:rFonts w:asciiTheme="majorBidi" w:eastAsia="Times New Roman" w:hAnsiTheme="majorBidi" w:cstheme="majorBidi"/>
          <w:sz w:val="24"/>
          <w:szCs w:val="24"/>
        </w:rPr>
        <w:t>Iuliani</w:t>
      </w:r>
      <w:proofErr w:type="spellEnd"/>
      <w:r>
        <w:rPr>
          <w:rFonts w:asciiTheme="majorBidi" w:eastAsia="Times New Roman" w:hAnsiTheme="majorBidi" w:cstheme="majorBidi"/>
          <w:sz w:val="24"/>
          <w:szCs w:val="24"/>
        </w:rPr>
        <w:t xml:space="preserve"> O, </w:t>
      </w:r>
      <w:proofErr w:type="spellStart"/>
      <w:r>
        <w:rPr>
          <w:rFonts w:asciiTheme="majorBidi" w:eastAsia="Times New Roman" w:hAnsiTheme="majorBidi" w:cstheme="majorBidi"/>
          <w:sz w:val="24"/>
          <w:szCs w:val="24"/>
        </w:rPr>
        <w:t>Marzio</w:t>
      </w:r>
      <w:proofErr w:type="spellEnd"/>
      <w:r>
        <w:rPr>
          <w:rFonts w:asciiTheme="majorBidi" w:eastAsia="Times New Roman" w:hAnsiTheme="majorBidi" w:cstheme="majorBidi"/>
          <w:sz w:val="24"/>
          <w:szCs w:val="24"/>
        </w:rPr>
        <w:t xml:space="preserve"> ID, </w:t>
      </w:r>
      <w:proofErr w:type="spellStart"/>
      <w:r>
        <w:rPr>
          <w:rFonts w:asciiTheme="majorBidi" w:eastAsia="Times New Roman" w:hAnsiTheme="majorBidi" w:cstheme="majorBidi"/>
          <w:sz w:val="24"/>
          <w:szCs w:val="24"/>
        </w:rPr>
        <w:t>Davì</w:t>
      </w:r>
      <w:proofErr w:type="spellEnd"/>
      <w:r>
        <w:rPr>
          <w:rFonts w:asciiTheme="majorBidi" w:eastAsia="Times New Roman" w:hAnsiTheme="majorBidi" w:cstheme="majorBidi"/>
          <w:sz w:val="24"/>
          <w:szCs w:val="24"/>
        </w:rPr>
        <w:t xml:space="preserve"> G. Inherited bleeding</w:t>
      </w:r>
      <w:bookmarkStart w:id="0" w:name="_GoBack"/>
      <w:bookmarkEnd w:id="0"/>
      <w:r>
        <w:rPr>
          <w:rFonts w:asciiTheme="majorBidi" w:eastAsia="Times New Roman" w:hAnsiTheme="majorBidi" w:cstheme="majorBidi"/>
          <w:sz w:val="24"/>
          <w:szCs w:val="24"/>
        </w:rPr>
        <w:t xml:space="preserve"> disorders: results from the Italian Regional </w:t>
      </w:r>
      <w:proofErr w:type="spellStart"/>
      <w:r>
        <w:rPr>
          <w:rFonts w:asciiTheme="majorBidi" w:eastAsia="Times New Roman" w:hAnsiTheme="majorBidi" w:cstheme="majorBidi"/>
          <w:sz w:val="24"/>
          <w:szCs w:val="24"/>
        </w:rPr>
        <w:t>Haemophilia</w:t>
      </w:r>
      <w:proofErr w:type="spellEnd"/>
      <w:r>
        <w:rPr>
          <w:rFonts w:asciiTheme="majorBidi" w:eastAsia="Times New Roman" w:hAnsiTheme="majorBidi" w:cstheme="majorBidi"/>
          <w:sz w:val="24"/>
          <w:szCs w:val="24"/>
        </w:rPr>
        <w:t xml:space="preserve"> Centre of Pescara. Blood </w:t>
      </w:r>
      <w:proofErr w:type="spellStart"/>
      <w:r>
        <w:rPr>
          <w:rFonts w:asciiTheme="majorBidi" w:eastAsia="Times New Roman" w:hAnsiTheme="majorBidi" w:cstheme="majorBidi"/>
          <w:sz w:val="24"/>
          <w:szCs w:val="24"/>
        </w:rPr>
        <w:t>Transfus</w:t>
      </w:r>
      <w:proofErr w:type="spellEnd"/>
      <w:r>
        <w:rPr>
          <w:rFonts w:asciiTheme="majorBidi" w:eastAsia="Times New Roman" w:hAnsiTheme="majorBidi" w:cstheme="majorBidi"/>
          <w:sz w:val="24"/>
          <w:szCs w:val="24"/>
        </w:rPr>
        <w:t>. 2008;6(3):136–42.</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Al-</w:t>
      </w:r>
      <w:proofErr w:type="spellStart"/>
      <w:r>
        <w:rPr>
          <w:rFonts w:asciiTheme="majorBidi" w:eastAsia="Times New Roman" w:hAnsiTheme="majorBidi" w:cstheme="majorBidi"/>
          <w:sz w:val="24"/>
          <w:szCs w:val="24"/>
        </w:rPr>
        <w:t>Hamadiny</w:t>
      </w:r>
      <w:proofErr w:type="spellEnd"/>
      <w:r>
        <w:rPr>
          <w:rFonts w:asciiTheme="majorBidi" w:eastAsia="Times New Roman" w:hAnsiTheme="majorBidi" w:cstheme="majorBidi"/>
          <w:sz w:val="24"/>
          <w:szCs w:val="24"/>
        </w:rPr>
        <w:t xml:space="preserve"> SQ, </w:t>
      </w:r>
      <w:proofErr w:type="spellStart"/>
      <w:r>
        <w:rPr>
          <w:rFonts w:asciiTheme="majorBidi" w:eastAsia="Times New Roman" w:hAnsiTheme="majorBidi" w:cstheme="majorBidi"/>
          <w:sz w:val="24"/>
          <w:szCs w:val="24"/>
        </w:rPr>
        <w:t>Maleek</w:t>
      </w:r>
      <w:proofErr w:type="spellEnd"/>
      <w:r>
        <w:rPr>
          <w:rFonts w:asciiTheme="majorBidi" w:eastAsia="Times New Roman" w:hAnsiTheme="majorBidi" w:cstheme="majorBidi"/>
          <w:sz w:val="24"/>
          <w:szCs w:val="24"/>
        </w:rPr>
        <w:t xml:space="preserve"> MI, </w:t>
      </w:r>
      <w:proofErr w:type="spellStart"/>
      <w:r>
        <w:rPr>
          <w:rFonts w:asciiTheme="majorBidi" w:eastAsia="Times New Roman" w:hAnsiTheme="majorBidi" w:cstheme="majorBidi"/>
          <w:sz w:val="24"/>
          <w:szCs w:val="24"/>
        </w:rPr>
        <w:t>Faraj</w:t>
      </w:r>
      <w:proofErr w:type="spellEnd"/>
      <w:r>
        <w:rPr>
          <w:rFonts w:asciiTheme="majorBidi" w:eastAsia="Times New Roman" w:hAnsiTheme="majorBidi" w:cstheme="majorBidi"/>
          <w:sz w:val="24"/>
          <w:szCs w:val="24"/>
        </w:rPr>
        <w:t xml:space="preserve"> SA, AL-</w:t>
      </w:r>
      <w:proofErr w:type="spellStart"/>
      <w:r>
        <w:rPr>
          <w:rFonts w:asciiTheme="majorBidi" w:eastAsia="Times New Roman" w:hAnsiTheme="majorBidi" w:cstheme="majorBidi"/>
          <w:sz w:val="24"/>
          <w:szCs w:val="24"/>
        </w:rPr>
        <w:t>Badri</w:t>
      </w:r>
      <w:proofErr w:type="spellEnd"/>
      <w:r>
        <w:rPr>
          <w:rFonts w:asciiTheme="majorBidi" w:eastAsia="Times New Roman" w:hAnsiTheme="majorBidi" w:cstheme="majorBidi"/>
          <w:sz w:val="24"/>
          <w:szCs w:val="24"/>
        </w:rPr>
        <w:t xml:space="preserve"> Z. Comparative hematological and biochemical values in hemophilia patients with </w:t>
      </w:r>
      <w:proofErr w:type="spellStart"/>
      <w:r>
        <w:rPr>
          <w:rFonts w:asciiTheme="majorBidi" w:eastAsia="Times New Roman" w:hAnsiTheme="majorBidi" w:cstheme="majorBidi"/>
          <w:sz w:val="24"/>
          <w:szCs w:val="24"/>
        </w:rPr>
        <w:t>arthropathy</w:t>
      </w:r>
      <w:proofErr w:type="spellEnd"/>
      <w:r>
        <w:rPr>
          <w:rFonts w:asciiTheme="majorBidi" w:eastAsia="Times New Roman" w:hAnsiTheme="majorBidi" w:cstheme="majorBidi"/>
          <w:sz w:val="24"/>
          <w:szCs w:val="24"/>
        </w:rPr>
        <w:t xml:space="preserve"> and healthy persons. </w:t>
      </w:r>
      <w:proofErr w:type="spellStart"/>
      <w:r>
        <w:rPr>
          <w:rFonts w:asciiTheme="majorBidi" w:eastAsia="Times New Roman" w:hAnsiTheme="majorBidi" w:cstheme="majorBidi"/>
          <w:sz w:val="24"/>
          <w:szCs w:val="24"/>
        </w:rPr>
        <w:t>Oncol</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Radiother</w:t>
      </w:r>
      <w:proofErr w:type="spellEnd"/>
      <w:r>
        <w:rPr>
          <w:rFonts w:asciiTheme="majorBidi" w:eastAsia="Times New Roman" w:hAnsiTheme="majorBidi" w:cstheme="majorBidi"/>
          <w:sz w:val="24"/>
          <w:szCs w:val="24"/>
        </w:rPr>
        <w:t>. 2024;18(6):1–4.</w:t>
      </w:r>
    </w:p>
    <w:p w:rsidR="006A601F" w:rsidRP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sidRPr="006A601F">
        <w:rPr>
          <w:rFonts w:asciiTheme="majorBidi" w:eastAsia="Times New Roman" w:hAnsiTheme="majorBidi" w:cstheme="majorBidi"/>
          <w:sz w:val="24"/>
          <w:szCs w:val="24"/>
        </w:rPr>
        <w:t>Mank</w:t>
      </w:r>
      <w:proofErr w:type="spellEnd"/>
      <w:r w:rsidRPr="006A601F">
        <w:rPr>
          <w:rFonts w:asciiTheme="majorBidi" w:eastAsia="Times New Roman" w:hAnsiTheme="majorBidi" w:cstheme="majorBidi"/>
          <w:sz w:val="24"/>
          <w:szCs w:val="24"/>
        </w:rPr>
        <w:t xml:space="preserve"> V, </w:t>
      </w:r>
      <w:proofErr w:type="spellStart"/>
      <w:r w:rsidRPr="006A601F">
        <w:rPr>
          <w:rFonts w:asciiTheme="majorBidi" w:eastAsia="Times New Roman" w:hAnsiTheme="majorBidi" w:cstheme="majorBidi"/>
          <w:sz w:val="24"/>
          <w:szCs w:val="24"/>
        </w:rPr>
        <w:t>Azhar</w:t>
      </w:r>
      <w:proofErr w:type="spellEnd"/>
      <w:r w:rsidRPr="006A601F">
        <w:rPr>
          <w:rFonts w:asciiTheme="majorBidi" w:eastAsia="Times New Roman" w:hAnsiTheme="majorBidi" w:cstheme="majorBidi"/>
          <w:sz w:val="24"/>
          <w:szCs w:val="24"/>
        </w:rPr>
        <w:t xml:space="preserve"> W, Brown K. Leukocytosis. [Updated 2024 Apr 21]. In: </w:t>
      </w:r>
      <w:proofErr w:type="spellStart"/>
      <w:r w:rsidRPr="006A601F">
        <w:rPr>
          <w:rFonts w:asciiTheme="majorBidi" w:eastAsia="Times New Roman" w:hAnsiTheme="majorBidi" w:cstheme="majorBidi"/>
          <w:sz w:val="24"/>
          <w:szCs w:val="24"/>
        </w:rPr>
        <w:t>StatPearls</w:t>
      </w:r>
      <w:proofErr w:type="spellEnd"/>
      <w:r w:rsidRPr="006A601F">
        <w:rPr>
          <w:rFonts w:asciiTheme="majorBidi" w:eastAsia="Times New Roman" w:hAnsiTheme="majorBidi" w:cstheme="majorBidi"/>
          <w:sz w:val="24"/>
          <w:szCs w:val="24"/>
        </w:rPr>
        <w:t xml:space="preserve"> [Internet]. Treasure Island (FL): </w:t>
      </w:r>
      <w:proofErr w:type="spellStart"/>
      <w:r w:rsidRPr="006A601F">
        <w:rPr>
          <w:rFonts w:asciiTheme="majorBidi" w:eastAsia="Times New Roman" w:hAnsiTheme="majorBidi" w:cstheme="majorBidi"/>
          <w:sz w:val="24"/>
          <w:szCs w:val="24"/>
        </w:rPr>
        <w:t>StatPearls</w:t>
      </w:r>
      <w:proofErr w:type="spellEnd"/>
      <w:r w:rsidRPr="006A601F">
        <w:rPr>
          <w:rFonts w:asciiTheme="majorBidi" w:eastAsia="Times New Roman" w:hAnsiTheme="majorBidi" w:cstheme="majorBidi"/>
          <w:sz w:val="24"/>
          <w:szCs w:val="24"/>
        </w:rPr>
        <w:t xml:space="preserve"> Publishing; 2025 Jan-. Available from: </w:t>
      </w:r>
      <w:hyperlink r:id="rId9" w:history="1">
        <w:r w:rsidRPr="00B26478">
          <w:rPr>
            <w:rStyle w:val="Hyperlink"/>
            <w:rFonts w:asciiTheme="majorBidi" w:eastAsia="Times New Roman" w:hAnsiTheme="majorBidi" w:cstheme="majorBidi"/>
            <w:sz w:val="24"/>
            <w:szCs w:val="24"/>
          </w:rPr>
          <w:t>https://www.ncbi.nlm.nih.gov/books/NBK560882/</w:t>
        </w:r>
      </w:hyperlink>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Aggarwal S, Kumar S, Gupta N, Garg S, </w:t>
      </w:r>
      <w:proofErr w:type="spellStart"/>
      <w:r>
        <w:rPr>
          <w:rFonts w:asciiTheme="majorBidi" w:eastAsia="Times New Roman" w:hAnsiTheme="majorBidi" w:cstheme="majorBidi"/>
          <w:sz w:val="24"/>
          <w:szCs w:val="24"/>
        </w:rPr>
        <w:t>Chakravarty</w:t>
      </w:r>
      <w:proofErr w:type="spellEnd"/>
      <w:r>
        <w:rPr>
          <w:rFonts w:asciiTheme="majorBidi" w:eastAsia="Times New Roman" w:hAnsiTheme="majorBidi" w:cstheme="majorBidi"/>
          <w:sz w:val="24"/>
          <w:szCs w:val="24"/>
        </w:rPr>
        <w:t xml:space="preserve"> A, </w:t>
      </w:r>
      <w:proofErr w:type="spellStart"/>
      <w:r>
        <w:rPr>
          <w:rFonts w:asciiTheme="majorBidi" w:eastAsia="Times New Roman" w:hAnsiTheme="majorBidi" w:cstheme="majorBidi"/>
          <w:sz w:val="24"/>
          <w:szCs w:val="24"/>
        </w:rPr>
        <w:t>Ish</w:t>
      </w:r>
      <w:proofErr w:type="spellEnd"/>
      <w:r>
        <w:rPr>
          <w:rFonts w:asciiTheme="majorBidi" w:eastAsia="Times New Roman" w:hAnsiTheme="majorBidi" w:cstheme="majorBidi"/>
          <w:sz w:val="24"/>
          <w:szCs w:val="24"/>
        </w:rPr>
        <w:t xml:space="preserve"> P, </w:t>
      </w:r>
      <w:proofErr w:type="spellStart"/>
      <w:r>
        <w:rPr>
          <w:rFonts w:asciiTheme="majorBidi" w:eastAsia="Times New Roman" w:hAnsiTheme="majorBidi" w:cstheme="majorBidi"/>
          <w:sz w:val="24"/>
          <w:szCs w:val="24"/>
        </w:rPr>
        <w:t>Dhar</w:t>
      </w:r>
      <w:proofErr w:type="spellEnd"/>
      <w:r>
        <w:rPr>
          <w:rFonts w:asciiTheme="majorBidi" w:eastAsia="Times New Roman" w:hAnsiTheme="majorBidi" w:cstheme="majorBidi"/>
          <w:sz w:val="24"/>
          <w:szCs w:val="24"/>
        </w:rPr>
        <w:t xml:space="preserve"> J. A cross-sectional study evaluating inflammatory markers in hemophilia and association with chronic complications. MAMC J Med Sci. 2022;6(2).</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van </w:t>
      </w:r>
      <w:proofErr w:type="spellStart"/>
      <w:r>
        <w:rPr>
          <w:rFonts w:asciiTheme="majorBidi" w:eastAsia="Times New Roman" w:hAnsiTheme="majorBidi" w:cstheme="majorBidi"/>
          <w:sz w:val="24"/>
          <w:szCs w:val="24"/>
        </w:rPr>
        <w:t>Bladel</w:t>
      </w:r>
      <w:proofErr w:type="spellEnd"/>
      <w:r>
        <w:rPr>
          <w:rFonts w:asciiTheme="majorBidi" w:eastAsia="Times New Roman" w:hAnsiTheme="majorBidi" w:cstheme="majorBidi"/>
          <w:sz w:val="24"/>
          <w:szCs w:val="24"/>
        </w:rPr>
        <w:t xml:space="preserve"> ER, </w:t>
      </w:r>
      <w:proofErr w:type="spellStart"/>
      <w:r>
        <w:rPr>
          <w:rFonts w:asciiTheme="majorBidi" w:eastAsia="Times New Roman" w:hAnsiTheme="majorBidi" w:cstheme="majorBidi"/>
          <w:sz w:val="24"/>
          <w:szCs w:val="24"/>
        </w:rPr>
        <w:t>Roest</w:t>
      </w:r>
      <w:proofErr w:type="spellEnd"/>
      <w:r>
        <w:rPr>
          <w:rFonts w:asciiTheme="majorBidi" w:eastAsia="Times New Roman" w:hAnsiTheme="majorBidi" w:cstheme="majorBidi"/>
          <w:sz w:val="24"/>
          <w:szCs w:val="24"/>
        </w:rPr>
        <w:t xml:space="preserve"> M, de Groot PG, </w:t>
      </w:r>
      <w:proofErr w:type="spellStart"/>
      <w:r>
        <w:rPr>
          <w:rFonts w:asciiTheme="majorBidi" w:eastAsia="Times New Roman" w:hAnsiTheme="majorBidi" w:cstheme="majorBidi"/>
          <w:sz w:val="24"/>
          <w:szCs w:val="24"/>
        </w:rPr>
        <w:t>Schutgens</w:t>
      </w:r>
      <w:proofErr w:type="spellEnd"/>
      <w:r>
        <w:rPr>
          <w:rFonts w:asciiTheme="majorBidi" w:eastAsia="Times New Roman" w:hAnsiTheme="majorBidi" w:cstheme="majorBidi"/>
          <w:sz w:val="24"/>
          <w:szCs w:val="24"/>
        </w:rPr>
        <w:t xml:space="preserve"> REG. Up-regulation of platelet activation in hemophilia A. </w:t>
      </w:r>
      <w:proofErr w:type="spellStart"/>
      <w:r>
        <w:rPr>
          <w:rFonts w:asciiTheme="majorBidi" w:eastAsia="Times New Roman" w:hAnsiTheme="majorBidi" w:cstheme="majorBidi"/>
          <w:sz w:val="24"/>
          <w:szCs w:val="24"/>
        </w:rPr>
        <w:t>Haematologica</w:t>
      </w:r>
      <w:proofErr w:type="spellEnd"/>
      <w:r>
        <w:rPr>
          <w:rFonts w:asciiTheme="majorBidi" w:eastAsia="Times New Roman" w:hAnsiTheme="majorBidi" w:cstheme="majorBidi"/>
          <w:sz w:val="24"/>
          <w:szCs w:val="24"/>
        </w:rPr>
        <w:t>. 2011;96(6):888–95. doi:10.3324/haematol.2011.042663.</w:t>
      </w: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Badulescu</w:t>
      </w:r>
      <w:proofErr w:type="spellEnd"/>
      <w:r>
        <w:rPr>
          <w:rFonts w:asciiTheme="majorBidi" w:eastAsia="Times New Roman" w:hAnsiTheme="majorBidi" w:cstheme="majorBidi"/>
          <w:sz w:val="24"/>
          <w:szCs w:val="24"/>
        </w:rPr>
        <w:t xml:space="preserve"> OV, </w:t>
      </w:r>
      <w:proofErr w:type="spellStart"/>
      <w:r>
        <w:rPr>
          <w:rFonts w:asciiTheme="majorBidi" w:eastAsia="Times New Roman" w:hAnsiTheme="majorBidi" w:cstheme="majorBidi"/>
          <w:sz w:val="24"/>
          <w:szCs w:val="24"/>
        </w:rPr>
        <w:t>Scripcariu</w:t>
      </w:r>
      <w:proofErr w:type="spellEnd"/>
      <w:r>
        <w:rPr>
          <w:rFonts w:asciiTheme="majorBidi" w:eastAsia="Times New Roman" w:hAnsiTheme="majorBidi" w:cstheme="majorBidi"/>
          <w:sz w:val="24"/>
          <w:szCs w:val="24"/>
        </w:rPr>
        <w:t xml:space="preserve"> DV, </w:t>
      </w:r>
      <w:proofErr w:type="spellStart"/>
      <w:r>
        <w:rPr>
          <w:rFonts w:asciiTheme="majorBidi" w:eastAsia="Times New Roman" w:hAnsiTheme="majorBidi" w:cstheme="majorBidi"/>
          <w:sz w:val="24"/>
          <w:szCs w:val="24"/>
        </w:rPr>
        <w:t>Badescu</w:t>
      </w:r>
      <w:proofErr w:type="spellEnd"/>
      <w:r>
        <w:rPr>
          <w:rFonts w:asciiTheme="majorBidi" w:eastAsia="Times New Roman" w:hAnsiTheme="majorBidi" w:cstheme="majorBidi"/>
          <w:sz w:val="24"/>
          <w:szCs w:val="24"/>
        </w:rPr>
        <w:t xml:space="preserve"> MC, </w:t>
      </w:r>
      <w:proofErr w:type="spellStart"/>
      <w:r>
        <w:rPr>
          <w:rFonts w:asciiTheme="majorBidi" w:eastAsia="Times New Roman" w:hAnsiTheme="majorBidi" w:cstheme="majorBidi"/>
          <w:sz w:val="24"/>
          <w:szCs w:val="24"/>
        </w:rPr>
        <w:t>Ciocoiu</w:t>
      </w:r>
      <w:proofErr w:type="spellEnd"/>
      <w:r>
        <w:rPr>
          <w:rFonts w:asciiTheme="majorBidi" w:eastAsia="Times New Roman" w:hAnsiTheme="majorBidi" w:cstheme="majorBidi"/>
          <w:sz w:val="24"/>
          <w:szCs w:val="24"/>
        </w:rPr>
        <w:t xml:space="preserve"> M, </w:t>
      </w:r>
      <w:proofErr w:type="spellStart"/>
      <w:r>
        <w:rPr>
          <w:rFonts w:asciiTheme="majorBidi" w:eastAsia="Times New Roman" w:hAnsiTheme="majorBidi" w:cstheme="majorBidi"/>
          <w:sz w:val="24"/>
          <w:szCs w:val="24"/>
        </w:rPr>
        <w:t>Vladeanu</w:t>
      </w:r>
      <w:proofErr w:type="spellEnd"/>
      <w:r>
        <w:rPr>
          <w:rFonts w:asciiTheme="majorBidi" w:eastAsia="Times New Roman" w:hAnsiTheme="majorBidi" w:cstheme="majorBidi"/>
          <w:sz w:val="24"/>
          <w:szCs w:val="24"/>
        </w:rPr>
        <w:t xml:space="preserve"> MC, </w:t>
      </w:r>
      <w:proofErr w:type="spellStart"/>
      <w:r>
        <w:rPr>
          <w:rFonts w:asciiTheme="majorBidi" w:eastAsia="Times New Roman" w:hAnsiTheme="majorBidi" w:cstheme="majorBidi"/>
          <w:sz w:val="24"/>
          <w:szCs w:val="24"/>
        </w:rPr>
        <w:t>Plesoianu</w:t>
      </w:r>
      <w:proofErr w:type="spellEnd"/>
      <w:r>
        <w:rPr>
          <w:rFonts w:asciiTheme="majorBidi" w:eastAsia="Times New Roman" w:hAnsiTheme="majorBidi" w:cstheme="majorBidi"/>
          <w:sz w:val="24"/>
          <w:szCs w:val="24"/>
        </w:rPr>
        <w:t xml:space="preserve"> CE, et al. Biomarkers involved in the pathogenesis of hemophilic </w:t>
      </w:r>
      <w:proofErr w:type="spellStart"/>
      <w:r>
        <w:rPr>
          <w:rFonts w:asciiTheme="majorBidi" w:eastAsia="Times New Roman" w:hAnsiTheme="majorBidi" w:cstheme="majorBidi"/>
          <w:sz w:val="24"/>
          <w:szCs w:val="24"/>
        </w:rPr>
        <w:t>arthropathy</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Int</w:t>
      </w:r>
      <w:proofErr w:type="spellEnd"/>
      <w:r>
        <w:rPr>
          <w:rFonts w:asciiTheme="majorBidi" w:eastAsia="Times New Roman" w:hAnsiTheme="majorBidi" w:cstheme="majorBidi"/>
          <w:sz w:val="24"/>
          <w:szCs w:val="24"/>
        </w:rPr>
        <w:t xml:space="preserve"> J </w:t>
      </w:r>
      <w:proofErr w:type="spellStart"/>
      <w:r>
        <w:rPr>
          <w:rFonts w:asciiTheme="majorBidi" w:eastAsia="Times New Roman" w:hAnsiTheme="majorBidi" w:cstheme="majorBidi"/>
          <w:sz w:val="24"/>
          <w:szCs w:val="24"/>
        </w:rPr>
        <w:t>Mol</w:t>
      </w:r>
      <w:proofErr w:type="spellEnd"/>
      <w:r>
        <w:rPr>
          <w:rFonts w:asciiTheme="majorBidi" w:eastAsia="Times New Roman" w:hAnsiTheme="majorBidi" w:cstheme="majorBidi"/>
          <w:sz w:val="24"/>
          <w:szCs w:val="24"/>
        </w:rPr>
        <w:t xml:space="preserve"> Sci. 2024;25(18):9897. doi:10.3390/ijms25189897.</w:t>
      </w:r>
    </w:p>
    <w:p w:rsidR="006A601F" w:rsidRDefault="006A601F" w:rsidP="006A601F">
      <w:pPr>
        <w:pStyle w:val="a6"/>
        <w:numPr>
          <w:ilvl w:val="0"/>
          <w:numId w:val="9"/>
        </w:numPr>
        <w:rPr>
          <w:rStyle w:val="given-name"/>
          <w:highlight w:val="yellow"/>
        </w:rPr>
      </w:pPr>
      <w:proofErr w:type="spellStart"/>
      <w:r>
        <w:rPr>
          <w:rStyle w:val="given-name"/>
          <w:kern w:val="36"/>
          <w:sz w:val="24"/>
          <w:szCs w:val="24"/>
          <w:highlight w:val="yellow"/>
        </w:rPr>
        <w:t>Oppl</w:t>
      </w:r>
      <w:proofErr w:type="spellEnd"/>
      <w:r>
        <w:rPr>
          <w:rStyle w:val="given-name"/>
          <w:kern w:val="36"/>
          <w:sz w:val="24"/>
          <w:szCs w:val="24"/>
          <w:highlight w:val="yellow"/>
        </w:rPr>
        <w:t xml:space="preserve"> B, </w:t>
      </w:r>
      <w:proofErr w:type="spellStart"/>
      <w:r>
        <w:rPr>
          <w:rStyle w:val="given-name"/>
          <w:kern w:val="36"/>
          <w:sz w:val="24"/>
          <w:szCs w:val="24"/>
          <w:highlight w:val="yellow"/>
        </w:rPr>
        <w:t>Datz</w:t>
      </w:r>
      <w:proofErr w:type="spellEnd"/>
      <w:r>
        <w:rPr>
          <w:rStyle w:val="given-name"/>
          <w:kern w:val="36"/>
          <w:sz w:val="24"/>
          <w:szCs w:val="24"/>
          <w:highlight w:val="yellow"/>
        </w:rPr>
        <w:t xml:space="preserve"> C, Huber-</w:t>
      </w:r>
      <w:proofErr w:type="spellStart"/>
      <w:r>
        <w:rPr>
          <w:rStyle w:val="given-name"/>
          <w:kern w:val="36"/>
          <w:sz w:val="24"/>
          <w:szCs w:val="24"/>
          <w:highlight w:val="yellow"/>
        </w:rPr>
        <w:t>Schönauer</w:t>
      </w:r>
      <w:proofErr w:type="spellEnd"/>
      <w:r>
        <w:rPr>
          <w:rStyle w:val="given-name"/>
          <w:kern w:val="36"/>
          <w:sz w:val="24"/>
          <w:szCs w:val="24"/>
          <w:highlight w:val="yellow"/>
        </w:rPr>
        <w:t xml:space="preserve"> U, </w:t>
      </w:r>
      <w:proofErr w:type="spellStart"/>
      <w:r>
        <w:rPr>
          <w:rStyle w:val="given-name"/>
          <w:kern w:val="36"/>
          <w:sz w:val="24"/>
          <w:szCs w:val="24"/>
          <w:highlight w:val="yellow"/>
        </w:rPr>
        <w:t>Husar-Memmer</w:t>
      </w:r>
      <w:proofErr w:type="spellEnd"/>
      <w:r>
        <w:rPr>
          <w:rStyle w:val="given-name"/>
          <w:kern w:val="36"/>
          <w:sz w:val="24"/>
          <w:szCs w:val="24"/>
          <w:highlight w:val="yellow"/>
        </w:rPr>
        <w:t xml:space="preserve"> E, </w:t>
      </w:r>
      <w:proofErr w:type="spellStart"/>
      <w:r>
        <w:rPr>
          <w:rStyle w:val="given-name"/>
          <w:kern w:val="36"/>
          <w:sz w:val="24"/>
          <w:szCs w:val="24"/>
          <w:highlight w:val="yellow"/>
        </w:rPr>
        <w:t>Brozek</w:t>
      </w:r>
      <w:proofErr w:type="spellEnd"/>
      <w:r>
        <w:rPr>
          <w:rStyle w:val="given-name"/>
          <w:kern w:val="36"/>
          <w:sz w:val="24"/>
          <w:szCs w:val="24"/>
          <w:highlight w:val="yellow"/>
        </w:rPr>
        <w:t xml:space="preserve"> W, </w:t>
      </w:r>
      <w:proofErr w:type="spellStart"/>
      <w:r>
        <w:rPr>
          <w:rStyle w:val="given-name"/>
          <w:kern w:val="36"/>
          <w:sz w:val="24"/>
          <w:szCs w:val="24"/>
          <w:highlight w:val="yellow"/>
        </w:rPr>
        <w:t>Zenz</w:t>
      </w:r>
      <w:proofErr w:type="spellEnd"/>
      <w:r>
        <w:rPr>
          <w:rStyle w:val="given-name"/>
          <w:kern w:val="36"/>
          <w:sz w:val="24"/>
          <w:szCs w:val="24"/>
          <w:highlight w:val="yellow"/>
        </w:rPr>
        <w:t xml:space="preserve"> P, et al. Vascular cell adhesion molecule-1 in patients with severe osteoarthritis of the hip. Wien </w:t>
      </w:r>
      <w:proofErr w:type="spellStart"/>
      <w:r>
        <w:rPr>
          <w:rStyle w:val="given-name"/>
          <w:kern w:val="36"/>
          <w:sz w:val="24"/>
          <w:szCs w:val="24"/>
          <w:highlight w:val="yellow"/>
        </w:rPr>
        <w:t>Klin</w:t>
      </w:r>
      <w:proofErr w:type="spellEnd"/>
      <w:r>
        <w:rPr>
          <w:rStyle w:val="given-name"/>
          <w:kern w:val="36"/>
          <w:sz w:val="24"/>
          <w:szCs w:val="24"/>
          <w:highlight w:val="yellow"/>
        </w:rPr>
        <w:t xml:space="preserve"> </w:t>
      </w:r>
      <w:proofErr w:type="spellStart"/>
      <w:r>
        <w:rPr>
          <w:rStyle w:val="given-name"/>
          <w:kern w:val="36"/>
          <w:sz w:val="24"/>
          <w:szCs w:val="24"/>
          <w:highlight w:val="yellow"/>
        </w:rPr>
        <w:t>Wochenschr</w:t>
      </w:r>
      <w:proofErr w:type="spellEnd"/>
      <w:r>
        <w:rPr>
          <w:rStyle w:val="given-name"/>
          <w:kern w:val="36"/>
          <w:sz w:val="24"/>
          <w:szCs w:val="24"/>
          <w:highlight w:val="yellow"/>
        </w:rPr>
        <w:t xml:space="preserve">. </w:t>
      </w:r>
      <w:proofErr w:type="gramStart"/>
      <w:r>
        <w:rPr>
          <w:rStyle w:val="given-name"/>
          <w:kern w:val="36"/>
          <w:sz w:val="24"/>
          <w:szCs w:val="24"/>
          <w:highlight w:val="yellow"/>
        </w:rPr>
        <w:t>2019;131:369</w:t>
      </w:r>
      <w:proofErr w:type="gramEnd"/>
      <w:r>
        <w:rPr>
          <w:rStyle w:val="given-name"/>
          <w:kern w:val="36"/>
          <w:sz w:val="24"/>
          <w:szCs w:val="24"/>
          <w:highlight w:val="yellow"/>
        </w:rPr>
        <w:t>–73.</w:t>
      </w:r>
    </w:p>
    <w:p w:rsidR="006A601F" w:rsidRDefault="006A601F" w:rsidP="006A601F">
      <w:pPr>
        <w:pStyle w:val="a3"/>
        <w:spacing w:after="0" w:line="360" w:lineRule="auto"/>
        <w:ind w:left="810"/>
        <w:jc w:val="both"/>
        <w:rPr>
          <w:rFonts w:asciiTheme="majorBidi" w:eastAsia="Times New Roman" w:hAnsiTheme="majorBidi" w:cstheme="majorBidi"/>
        </w:rPr>
      </w:pPr>
    </w:p>
    <w:p w:rsid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De Caterina R, </w:t>
      </w:r>
      <w:proofErr w:type="spellStart"/>
      <w:r>
        <w:rPr>
          <w:rFonts w:asciiTheme="majorBidi" w:eastAsia="Times New Roman" w:hAnsiTheme="majorBidi" w:cstheme="majorBidi"/>
          <w:sz w:val="24"/>
          <w:szCs w:val="24"/>
        </w:rPr>
        <w:t>Basta</w:t>
      </w:r>
      <w:proofErr w:type="spellEnd"/>
      <w:r>
        <w:rPr>
          <w:rFonts w:asciiTheme="majorBidi" w:eastAsia="Times New Roman" w:hAnsiTheme="majorBidi" w:cstheme="majorBidi"/>
          <w:sz w:val="24"/>
          <w:szCs w:val="24"/>
        </w:rPr>
        <w:t xml:space="preserve"> G, </w:t>
      </w:r>
      <w:proofErr w:type="spellStart"/>
      <w:r>
        <w:rPr>
          <w:rFonts w:asciiTheme="majorBidi" w:eastAsia="Times New Roman" w:hAnsiTheme="majorBidi" w:cstheme="majorBidi"/>
          <w:sz w:val="24"/>
          <w:szCs w:val="24"/>
        </w:rPr>
        <w:t>Lazzerini</w:t>
      </w:r>
      <w:proofErr w:type="spellEnd"/>
      <w:r>
        <w:rPr>
          <w:rFonts w:asciiTheme="majorBidi" w:eastAsia="Times New Roman" w:hAnsiTheme="majorBidi" w:cstheme="majorBidi"/>
          <w:sz w:val="24"/>
          <w:szCs w:val="24"/>
        </w:rPr>
        <w:t xml:space="preserve"> G, </w:t>
      </w:r>
      <w:proofErr w:type="spellStart"/>
      <w:r>
        <w:rPr>
          <w:rFonts w:asciiTheme="majorBidi" w:eastAsia="Times New Roman" w:hAnsiTheme="majorBidi" w:cstheme="majorBidi"/>
          <w:sz w:val="24"/>
          <w:szCs w:val="24"/>
        </w:rPr>
        <w:t>Dell’Omo</w:t>
      </w:r>
      <w:proofErr w:type="spellEnd"/>
      <w:r>
        <w:rPr>
          <w:rFonts w:asciiTheme="majorBidi" w:eastAsia="Times New Roman" w:hAnsiTheme="majorBidi" w:cstheme="majorBidi"/>
          <w:sz w:val="24"/>
          <w:szCs w:val="24"/>
        </w:rPr>
        <w:t xml:space="preserve"> G, </w:t>
      </w:r>
      <w:proofErr w:type="spellStart"/>
      <w:r>
        <w:rPr>
          <w:rFonts w:asciiTheme="majorBidi" w:eastAsia="Times New Roman" w:hAnsiTheme="majorBidi" w:cstheme="majorBidi"/>
          <w:sz w:val="24"/>
          <w:szCs w:val="24"/>
        </w:rPr>
        <w:t>Petrucci</w:t>
      </w:r>
      <w:proofErr w:type="spellEnd"/>
      <w:r>
        <w:rPr>
          <w:rFonts w:asciiTheme="majorBidi" w:eastAsia="Times New Roman" w:hAnsiTheme="majorBidi" w:cstheme="majorBidi"/>
          <w:sz w:val="24"/>
          <w:szCs w:val="24"/>
        </w:rPr>
        <w:t xml:space="preserve"> R, Morale M, et al. Soluble vascular cell adhesion molecule-1 as a </w:t>
      </w:r>
      <w:proofErr w:type="spellStart"/>
      <w:r>
        <w:rPr>
          <w:rFonts w:asciiTheme="majorBidi" w:eastAsia="Times New Roman" w:hAnsiTheme="majorBidi" w:cstheme="majorBidi"/>
          <w:sz w:val="24"/>
          <w:szCs w:val="24"/>
        </w:rPr>
        <w:t>biohumoral</w:t>
      </w:r>
      <w:proofErr w:type="spellEnd"/>
      <w:r>
        <w:rPr>
          <w:rFonts w:asciiTheme="majorBidi" w:eastAsia="Times New Roman" w:hAnsiTheme="majorBidi" w:cstheme="majorBidi"/>
          <w:sz w:val="24"/>
          <w:szCs w:val="24"/>
        </w:rPr>
        <w:t xml:space="preserve"> correlate of atherosclerosis. </w:t>
      </w:r>
      <w:proofErr w:type="spellStart"/>
      <w:r>
        <w:rPr>
          <w:rFonts w:asciiTheme="majorBidi" w:eastAsia="Times New Roman" w:hAnsiTheme="majorBidi" w:cstheme="majorBidi"/>
          <w:sz w:val="24"/>
          <w:szCs w:val="24"/>
        </w:rPr>
        <w:t>Arterioscler</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Thromb</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Vasc</w:t>
      </w:r>
      <w:proofErr w:type="spellEnd"/>
      <w:r>
        <w:rPr>
          <w:rFonts w:asciiTheme="majorBidi" w:eastAsia="Times New Roman" w:hAnsiTheme="majorBidi" w:cstheme="majorBidi"/>
          <w:sz w:val="24"/>
          <w:szCs w:val="24"/>
        </w:rPr>
        <w:t xml:space="preserve"> Biol. 1997;17(11):2646. </w:t>
      </w:r>
      <w:proofErr w:type="gramStart"/>
      <w:r>
        <w:rPr>
          <w:rFonts w:asciiTheme="majorBidi" w:eastAsia="Times New Roman" w:hAnsiTheme="majorBidi" w:cstheme="majorBidi"/>
          <w:sz w:val="24"/>
          <w:szCs w:val="24"/>
        </w:rPr>
        <w:t>doi:10.1161/01.ATV</w:t>
      </w:r>
      <w:proofErr w:type="gramEnd"/>
      <w:r>
        <w:rPr>
          <w:rFonts w:asciiTheme="majorBidi" w:eastAsia="Times New Roman" w:hAnsiTheme="majorBidi" w:cstheme="majorBidi"/>
          <w:sz w:val="24"/>
          <w:szCs w:val="24"/>
        </w:rPr>
        <w:t>.17.11.2646.</w:t>
      </w:r>
    </w:p>
    <w:p w:rsidR="00751017" w:rsidRPr="006A601F" w:rsidRDefault="006A601F" w:rsidP="006A601F">
      <w:pPr>
        <w:pStyle w:val="a3"/>
        <w:numPr>
          <w:ilvl w:val="0"/>
          <w:numId w:val="9"/>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Salem HR, </w:t>
      </w:r>
      <w:proofErr w:type="spellStart"/>
      <w:r>
        <w:rPr>
          <w:rFonts w:asciiTheme="majorBidi" w:eastAsia="Times New Roman" w:hAnsiTheme="majorBidi" w:cstheme="majorBidi"/>
          <w:sz w:val="24"/>
          <w:szCs w:val="24"/>
        </w:rPr>
        <w:t>Zahran</w:t>
      </w:r>
      <w:proofErr w:type="spellEnd"/>
      <w:r>
        <w:rPr>
          <w:rFonts w:asciiTheme="majorBidi" w:eastAsia="Times New Roman" w:hAnsiTheme="majorBidi" w:cstheme="majorBidi"/>
          <w:sz w:val="24"/>
          <w:szCs w:val="24"/>
        </w:rPr>
        <w:t xml:space="preserve"> ES. Vascular cell adhesion molecule-1 in rheumatoid arthritis patients: Relation to disease activity, oxidative stress, and systemic inflammation. Saudi Med J. 2021;42(6):620–8. doi:10.15537/smj.2021.42.6.20200753.</w:t>
      </w:r>
    </w:p>
    <w:sectPr w:rsidR="00751017" w:rsidRPr="006A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AA9"/>
    <w:multiLevelType w:val="hybridMultilevel"/>
    <w:tmpl w:val="29400636"/>
    <w:lvl w:ilvl="0" w:tplc="91CCB7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AD7A7B"/>
    <w:multiLevelType w:val="hybridMultilevel"/>
    <w:tmpl w:val="3A44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7245F"/>
    <w:multiLevelType w:val="hybridMultilevel"/>
    <w:tmpl w:val="2448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51A26"/>
    <w:multiLevelType w:val="hybridMultilevel"/>
    <w:tmpl w:val="ECB816E2"/>
    <w:lvl w:ilvl="0" w:tplc="12327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D1346"/>
    <w:multiLevelType w:val="hybridMultilevel"/>
    <w:tmpl w:val="04464C5E"/>
    <w:lvl w:ilvl="0" w:tplc="44861930">
      <w:start w:val="1"/>
      <w:numFmt w:val="decimal"/>
      <w:lvlText w:val="%1."/>
      <w:lvlJc w:val="left"/>
      <w:pPr>
        <w:ind w:left="81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C291B"/>
    <w:multiLevelType w:val="multilevel"/>
    <w:tmpl w:val="689C9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F0932"/>
    <w:multiLevelType w:val="multilevel"/>
    <w:tmpl w:val="C55E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B"/>
    <w:rsid w:val="0005101B"/>
    <w:rsid w:val="000D0CBB"/>
    <w:rsid w:val="00127552"/>
    <w:rsid w:val="0029243F"/>
    <w:rsid w:val="0040026A"/>
    <w:rsid w:val="004069D7"/>
    <w:rsid w:val="00424C04"/>
    <w:rsid w:val="00516254"/>
    <w:rsid w:val="00545CF2"/>
    <w:rsid w:val="00620A81"/>
    <w:rsid w:val="006A601F"/>
    <w:rsid w:val="00751017"/>
    <w:rsid w:val="00790AF0"/>
    <w:rsid w:val="007F254F"/>
    <w:rsid w:val="008125D7"/>
    <w:rsid w:val="00845455"/>
    <w:rsid w:val="00864FFD"/>
    <w:rsid w:val="00A952AE"/>
    <w:rsid w:val="00BD477D"/>
    <w:rsid w:val="00C109E5"/>
    <w:rsid w:val="00CF70CD"/>
    <w:rsid w:val="00DA7583"/>
    <w:rsid w:val="00E420F3"/>
    <w:rsid w:val="00F03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0D23"/>
  <w15:chartTrackingRefBased/>
  <w15:docId w15:val="{0F5B4E6D-9EB1-4354-850E-9251F4B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01F"/>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9D7"/>
    <w:pPr>
      <w:ind w:left="720"/>
      <w:contextualSpacing/>
    </w:pPr>
  </w:style>
  <w:style w:type="table" w:styleId="a4">
    <w:name w:val="Table Grid"/>
    <w:basedOn w:val="a1"/>
    <w:uiPriority w:val="39"/>
    <w:rsid w:val="0029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84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بلا تباعد Char"/>
    <w:basedOn w:val="a0"/>
    <w:link w:val="a6"/>
    <w:uiPriority w:val="1"/>
    <w:locked/>
    <w:rsid w:val="006A601F"/>
    <w:rPr>
      <w:rFonts w:asciiTheme="majorBidi" w:eastAsia="Times New Roman" w:hAnsiTheme="majorBidi" w:cstheme="majorBidi"/>
      <w:color w:val="000000"/>
      <w:sz w:val="28"/>
      <w:szCs w:val="28"/>
    </w:rPr>
  </w:style>
  <w:style w:type="paragraph" w:styleId="a6">
    <w:name w:val="No Spacing"/>
    <w:basedOn w:val="a"/>
    <w:link w:val="Char"/>
    <w:uiPriority w:val="1"/>
    <w:qFormat/>
    <w:rsid w:val="006A601F"/>
    <w:pPr>
      <w:spacing w:after="0" w:line="360" w:lineRule="auto"/>
      <w:jc w:val="both"/>
    </w:pPr>
    <w:rPr>
      <w:rFonts w:asciiTheme="majorBidi" w:eastAsia="Times New Roman" w:hAnsiTheme="majorBidi" w:cstheme="majorBidi"/>
      <w:color w:val="000000"/>
      <w:sz w:val="28"/>
      <w:szCs w:val="28"/>
    </w:rPr>
  </w:style>
  <w:style w:type="character" w:customStyle="1" w:styleId="given-name">
    <w:name w:val="given-name"/>
    <w:basedOn w:val="a0"/>
    <w:rsid w:val="006A601F"/>
  </w:style>
  <w:style w:type="table" w:styleId="1">
    <w:name w:val="Plain Table 1"/>
    <w:basedOn w:val="a1"/>
    <w:uiPriority w:val="41"/>
    <w:rsid w:val="006A601F"/>
    <w:pPr>
      <w:spacing w:after="0" w:line="240" w:lineRule="auto"/>
    </w:pPr>
    <w:rPr>
      <w:kern w:val="2"/>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6A6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178">
      <w:bodyDiv w:val="1"/>
      <w:marLeft w:val="0"/>
      <w:marRight w:val="0"/>
      <w:marTop w:val="0"/>
      <w:marBottom w:val="0"/>
      <w:divBdr>
        <w:top w:val="none" w:sz="0" w:space="0" w:color="auto"/>
        <w:left w:val="none" w:sz="0" w:space="0" w:color="auto"/>
        <w:bottom w:val="none" w:sz="0" w:space="0" w:color="auto"/>
        <w:right w:val="none" w:sz="0" w:space="0" w:color="auto"/>
      </w:divBdr>
    </w:div>
    <w:div w:id="168370988">
      <w:bodyDiv w:val="1"/>
      <w:marLeft w:val="0"/>
      <w:marRight w:val="0"/>
      <w:marTop w:val="0"/>
      <w:marBottom w:val="0"/>
      <w:divBdr>
        <w:top w:val="none" w:sz="0" w:space="0" w:color="auto"/>
        <w:left w:val="none" w:sz="0" w:space="0" w:color="auto"/>
        <w:bottom w:val="none" w:sz="0" w:space="0" w:color="auto"/>
        <w:right w:val="none" w:sz="0" w:space="0" w:color="auto"/>
      </w:divBdr>
    </w:div>
    <w:div w:id="220992334">
      <w:bodyDiv w:val="1"/>
      <w:marLeft w:val="0"/>
      <w:marRight w:val="0"/>
      <w:marTop w:val="0"/>
      <w:marBottom w:val="0"/>
      <w:divBdr>
        <w:top w:val="none" w:sz="0" w:space="0" w:color="auto"/>
        <w:left w:val="none" w:sz="0" w:space="0" w:color="auto"/>
        <w:bottom w:val="none" w:sz="0" w:space="0" w:color="auto"/>
        <w:right w:val="none" w:sz="0" w:space="0" w:color="auto"/>
      </w:divBdr>
    </w:div>
    <w:div w:id="260186193">
      <w:bodyDiv w:val="1"/>
      <w:marLeft w:val="0"/>
      <w:marRight w:val="0"/>
      <w:marTop w:val="0"/>
      <w:marBottom w:val="0"/>
      <w:divBdr>
        <w:top w:val="none" w:sz="0" w:space="0" w:color="auto"/>
        <w:left w:val="none" w:sz="0" w:space="0" w:color="auto"/>
        <w:bottom w:val="none" w:sz="0" w:space="0" w:color="auto"/>
        <w:right w:val="none" w:sz="0" w:space="0" w:color="auto"/>
      </w:divBdr>
    </w:div>
    <w:div w:id="377321110">
      <w:bodyDiv w:val="1"/>
      <w:marLeft w:val="0"/>
      <w:marRight w:val="0"/>
      <w:marTop w:val="0"/>
      <w:marBottom w:val="0"/>
      <w:divBdr>
        <w:top w:val="none" w:sz="0" w:space="0" w:color="auto"/>
        <w:left w:val="none" w:sz="0" w:space="0" w:color="auto"/>
        <w:bottom w:val="none" w:sz="0" w:space="0" w:color="auto"/>
        <w:right w:val="none" w:sz="0" w:space="0" w:color="auto"/>
      </w:divBdr>
    </w:div>
    <w:div w:id="604922467">
      <w:bodyDiv w:val="1"/>
      <w:marLeft w:val="0"/>
      <w:marRight w:val="0"/>
      <w:marTop w:val="0"/>
      <w:marBottom w:val="0"/>
      <w:divBdr>
        <w:top w:val="none" w:sz="0" w:space="0" w:color="auto"/>
        <w:left w:val="none" w:sz="0" w:space="0" w:color="auto"/>
        <w:bottom w:val="none" w:sz="0" w:space="0" w:color="auto"/>
        <w:right w:val="none" w:sz="0" w:space="0" w:color="auto"/>
      </w:divBdr>
    </w:div>
    <w:div w:id="906263160">
      <w:bodyDiv w:val="1"/>
      <w:marLeft w:val="0"/>
      <w:marRight w:val="0"/>
      <w:marTop w:val="0"/>
      <w:marBottom w:val="0"/>
      <w:divBdr>
        <w:top w:val="none" w:sz="0" w:space="0" w:color="auto"/>
        <w:left w:val="none" w:sz="0" w:space="0" w:color="auto"/>
        <w:bottom w:val="none" w:sz="0" w:space="0" w:color="auto"/>
        <w:right w:val="none" w:sz="0" w:space="0" w:color="auto"/>
      </w:divBdr>
    </w:div>
    <w:div w:id="917833193">
      <w:bodyDiv w:val="1"/>
      <w:marLeft w:val="0"/>
      <w:marRight w:val="0"/>
      <w:marTop w:val="0"/>
      <w:marBottom w:val="0"/>
      <w:divBdr>
        <w:top w:val="none" w:sz="0" w:space="0" w:color="auto"/>
        <w:left w:val="none" w:sz="0" w:space="0" w:color="auto"/>
        <w:bottom w:val="none" w:sz="0" w:space="0" w:color="auto"/>
        <w:right w:val="none" w:sz="0" w:space="0" w:color="auto"/>
      </w:divBdr>
    </w:div>
    <w:div w:id="1321233043">
      <w:bodyDiv w:val="1"/>
      <w:marLeft w:val="0"/>
      <w:marRight w:val="0"/>
      <w:marTop w:val="0"/>
      <w:marBottom w:val="0"/>
      <w:divBdr>
        <w:top w:val="none" w:sz="0" w:space="0" w:color="auto"/>
        <w:left w:val="none" w:sz="0" w:space="0" w:color="auto"/>
        <w:bottom w:val="none" w:sz="0" w:space="0" w:color="auto"/>
        <w:right w:val="none" w:sz="0" w:space="0" w:color="auto"/>
      </w:divBdr>
    </w:div>
    <w:div w:id="1421028897">
      <w:bodyDiv w:val="1"/>
      <w:marLeft w:val="0"/>
      <w:marRight w:val="0"/>
      <w:marTop w:val="0"/>
      <w:marBottom w:val="0"/>
      <w:divBdr>
        <w:top w:val="none" w:sz="0" w:space="0" w:color="auto"/>
        <w:left w:val="none" w:sz="0" w:space="0" w:color="auto"/>
        <w:bottom w:val="none" w:sz="0" w:space="0" w:color="auto"/>
        <w:right w:val="none" w:sz="0" w:space="0" w:color="auto"/>
      </w:divBdr>
    </w:div>
    <w:div w:id="1541357401">
      <w:bodyDiv w:val="1"/>
      <w:marLeft w:val="0"/>
      <w:marRight w:val="0"/>
      <w:marTop w:val="0"/>
      <w:marBottom w:val="0"/>
      <w:divBdr>
        <w:top w:val="none" w:sz="0" w:space="0" w:color="auto"/>
        <w:left w:val="none" w:sz="0" w:space="0" w:color="auto"/>
        <w:bottom w:val="none" w:sz="0" w:space="0" w:color="auto"/>
        <w:right w:val="none" w:sz="0" w:space="0" w:color="auto"/>
      </w:divBdr>
    </w:div>
    <w:div w:id="1560551493">
      <w:bodyDiv w:val="1"/>
      <w:marLeft w:val="0"/>
      <w:marRight w:val="0"/>
      <w:marTop w:val="0"/>
      <w:marBottom w:val="0"/>
      <w:divBdr>
        <w:top w:val="none" w:sz="0" w:space="0" w:color="auto"/>
        <w:left w:val="none" w:sz="0" w:space="0" w:color="auto"/>
        <w:bottom w:val="none" w:sz="0" w:space="0" w:color="auto"/>
        <w:right w:val="none" w:sz="0" w:space="0" w:color="auto"/>
      </w:divBdr>
    </w:div>
    <w:div w:id="1707825629">
      <w:bodyDiv w:val="1"/>
      <w:marLeft w:val="0"/>
      <w:marRight w:val="0"/>
      <w:marTop w:val="0"/>
      <w:marBottom w:val="0"/>
      <w:divBdr>
        <w:top w:val="none" w:sz="0" w:space="0" w:color="auto"/>
        <w:left w:val="none" w:sz="0" w:space="0" w:color="auto"/>
        <w:bottom w:val="none" w:sz="0" w:space="0" w:color="auto"/>
        <w:right w:val="none" w:sz="0" w:space="0" w:color="auto"/>
      </w:divBdr>
    </w:div>
    <w:div w:id="1731683529">
      <w:bodyDiv w:val="1"/>
      <w:marLeft w:val="0"/>
      <w:marRight w:val="0"/>
      <w:marTop w:val="0"/>
      <w:marBottom w:val="0"/>
      <w:divBdr>
        <w:top w:val="none" w:sz="0" w:space="0" w:color="auto"/>
        <w:left w:val="none" w:sz="0" w:space="0" w:color="auto"/>
        <w:bottom w:val="none" w:sz="0" w:space="0" w:color="auto"/>
        <w:right w:val="none" w:sz="0" w:space="0" w:color="auto"/>
      </w:divBdr>
    </w:div>
    <w:div w:id="1911770318">
      <w:bodyDiv w:val="1"/>
      <w:marLeft w:val="0"/>
      <w:marRight w:val="0"/>
      <w:marTop w:val="0"/>
      <w:marBottom w:val="0"/>
      <w:divBdr>
        <w:top w:val="none" w:sz="0" w:space="0" w:color="auto"/>
        <w:left w:val="none" w:sz="0" w:space="0" w:color="auto"/>
        <w:bottom w:val="none" w:sz="0" w:space="0" w:color="auto"/>
        <w:right w:val="none" w:sz="0" w:space="0" w:color="auto"/>
      </w:divBdr>
    </w:div>
    <w:div w:id="21201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18992" TargetMode="External"/><Relationship Id="rId3" Type="http://schemas.openxmlformats.org/officeDocument/2006/relationships/settings" Target="settings.xml"/><Relationship Id="rId7" Type="http://schemas.openxmlformats.org/officeDocument/2006/relationships/hyperlink" Target="https://www.haemophili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iopaedia.org/articles/954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books/NBK56088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4158</Words>
  <Characters>23707</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22</cp:revision>
  <dcterms:created xsi:type="dcterms:W3CDTF">2025-04-29T19:53:00Z</dcterms:created>
  <dcterms:modified xsi:type="dcterms:W3CDTF">2025-08-23T16:52:00Z</dcterms:modified>
</cp:coreProperties>
</file>